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AEAB" w14:textId="77777777" w:rsidR="004665DD" w:rsidRPr="003C2084" w:rsidRDefault="004665DD" w:rsidP="004665DD">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4982DA72" w14:textId="3FD568E6" w:rsidR="004665DD" w:rsidRPr="003C2084" w:rsidRDefault="004665DD" w:rsidP="004665DD">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Public Health Principal</w:t>
      </w:r>
      <w:r w:rsidRPr="003C2084">
        <w:rPr>
          <w:rFonts w:ascii="Amasis MT Pro Black" w:hAnsi="Amasis MT Pro Black"/>
          <w:b/>
          <w:bCs/>
          <w:color w:val="D46F63"/>
          <w:sz w:val="48"/>
          <w:szCs w:val="48"/>
        </w:rPr>
        <w:tab/>
      </w:r>
    </w:p>
    <w:p w14:paraId="3C0318DD" w14:textId="77777777" w:rsidR="004665DD" w:rsidRDefault="004665DD" w:rsidP="004665DD">
      <w:pPr>
        <w:spacing w:after="100" w:line="240" w:lineRule="auto"/>
        <w:ind w:left="567" w:right="118"/>
        <w:contextualSpacing/>
        <w:rPr>
          <w:b/>
          <w:bCs/>
          <w:sz w:val="32"/>
          <w:szCs w:val="32"/>
        </w:rPr>
      </w:pPr>
    </w:p>
    <w:p w14:paraId="5DDD9AC5" w14:textId="77777777" w:rsidR="004665DD" w:rsidRPr="00C865FB" w:rsidRDefault="004665DD" w:rsidP="004665DD">
      <w:pPr>
        <w:spacing w:after="100" w:line="240" w:lineRule="auto"/>
        <w:ind w:left="567" w:right="118"/>
        <w:contextualSpacing/>
        <w:rPr>
          <w:rFonts w:ascii="Amasis MT Pro Black" w:hAnsi="Amasis MT Pro Black" w:cs="Calibri"/>
          <w:b/>
          <w:bCs/>
          <w:color w:val="000000"/>
          <w:sz w:val="24"/>
          <w:szCs w:val="24"/>
        </w:rPr>
      </w:pPr>
      <w:r w:rsidRPr="00C865FB">
        <w:rPr>
          <w:rFonts w:ascii="Amasis MT Pro Black" w:hAnsi="Amasis MT Pro Black" w:cs="Calibri"/>
          <w:b/>
          <w:bCs/>
          <w:color w:val="000000"/>
          <w:sz w:val="24"/>
          <w:szCs w:val="24"/>
        </w:rPr>
        <w:t>Our values:</w:t>
      </w:r>
    </w:p>
    <w:p w14:paraId="19875228" w14:textId="77777777" w:rsidR="004665DD" w:rsidRPr="00C865FB" w:rsidRDefault="004665DD" w:rsidP="004665DD">
      <w:pPr>
        <w:spacing w:after="100" w:line="240" w:lineRule="auto"/>
        <w:ind w:left="567" w:right="118"/>
        <w:contextualSpacing/>
        <w:rPr>
          <w:rFonts w:ascii="Amasis MT Pro Black" w:hAnsi="Amasis MT Pro Black" w:cs="Calibri"/>
          <w:b/>
          <w:bCs/>
          <w:color w:val="000000"/>
          <w:sz w:val="24"/>
          <w:szCs w:val="24"/>
        </w:rPr>
      </w:pPr>
      <w:r w:rsidRPr="00C865FB">
        <w:rPr>
          <w:rFonts w:ascii="Amasis MT Pro Black" w:hAnsi="Amasis MT Pro Black" w:cs="Calibri"/>
          <w:b/>
          <w:bCs/>
          <w:color w:val="000000"/>
          <w:sz w:val="24"/>
          <w:szCs w:val="24"/>
        </w:rPr>
        <w:t>We are dedicated, respectful, collaborative. We are Milton Keynes City Council.</w:t>
      </w:r>
    </w:p>
    <w:p w14:paraId="77679328" w14:textId="77777777" w:rsidR="004665DD" w:rsidRDefault="004665DD" w:rsidP="004665DD">
      <w:pPr>
        <w:spacing w:after="0" w:line="240" w:lineRule="auto"/>
        <w:ind w:left="567" w:right="118"/>
        <w:contextualSpacing/>
        <w:rPr>
          <w:b/>
          <w:bCs/>
          <w:noProof/>
          <w:sz w:val="32"/>
          <w:szCs w:val="32"/>
        </w:rPr>
      </w:pPr>
    </w:p>
    <w:tbl>
      <w:tblPr>
        <w:tblW w:w="0" w:type="auto"/>
        <w:tblInd w:w="567" w:type="dxa"/>
        <w:tblCellMar>
          <w:left w:w="28" w:type="dxa"/>
        </w:tblCellMar>
        <w:tblLook w:val="04A0" w:firstRow="1" w:lastRow="0" w:firstColumn="1" w:lastColumn="0" w:noHBand="0" w:noVBand="1"/>
      </w:tblPr>
      <w:tblGrid>
        <w:gridCol w:w="2263"/>
        <w:gridCol w:w="7235"/>
      </w:tblGrid>
      <w:tr w:rsidR="004665DD" w:rsidRPr="00C865FB" w14:paraId="4CD9E62A" w14:textId="77777777" w:rsidTr="00427359">
        <w:tc>
          <w:tcPr>
            <w:tcW w:w="2263" w:type="dxa"/>
          </w:tcPr>
          <w:p w14:paraId="5B85626F" w14:textId="77777777" w:rsidR="004665DD" w:rsidRPr="00C865FB" w:rsidRDefault="004665DD" w:rsidP="00427359">
            <w:pPr>
              <w:spacing w:after="0" w:line="240" w:lineRule="auto"/>
              <w:ind w:right="118"/>
              <w:contextualSpacing/>
              <w:rPr>
                <w:rFonts w:cs="Calibri"/>
                <w:b/>
                <w:bCs/>
                <w:noProof/>
                <w:sz w:val="24"/>
                <w:szCs w:val="24"/>
              </w:rPr>
            </w:pPr>
            <w:r w:rsidRPr="00C865FB">
              <w:rPr>
                <w:rFonts w:cs="Calibri"/>
                <w:b/>
                <w:bCs/>
                <w:sz w:val="24"/>
                <w:szCs w:val="24"/>
              </w:rPr>
              <w:t>Service</w:t>
            </w:r>
          </w:p>
        </w:tc>
        <w:tc>
          <w:tcPr>
            <w:tcW w:w="7235" w:type="dxa"/>
          </w:tcPr>
          <w:p w14:paraId="271E34BC" w14:textId="77777777" w:rsidR="004665DD" w:rsidRPr="00C865FB" w:rsidRDefault="004665DD" w:rsidP="00427359">
            <w:pPr>
              <w:spacing w:after="0" w:line="240" w:lineRule="auto"/>
              <w:ind w:right="118"/>
              <w:contextualSpacing/>
              <w:rPr>
                <w:rFonts w:cs="Calibri"/>
                <w:noProof/>
                <w:sz w:val="24"/>
                <w:szCs w:val="24"/>
              </w:rPr>
            </w:pPr>
            <w:r w:rsidRPr="00C865FB">
              <w:rPr>
                <w:rFonts w:cs="Calibri"/>
                <w:noProof/>
                <w:sz w:val="24"/>
                <w:szCs w:val="24"/>
              </w:rPr>
              <w:t>Public Health</w:t>
            </w:r>
          </w:p>
        </w:tc>
      </w:tr>
      <w:tr w:rsidR="004665DD" w:rsidRPr="00C865FB" w14:paraId="05668B8A" w14:textId="77777777" w:rsidTr="00427359">
        <w:tc>
          <w:tcPr>
            <w:tcW w:w="2263" w:type="dxa"/>
          </w:tcPr>
          <w:p w14:paraId="5E5FB93D" w14:textId="77777777" w:rsidR="004665DD" w:rsidRPr="00C865FB" w:rsidRDefault="004665DD" w:rsidP="00427359">
            <w:pPr>
              <w:spacing w:after="0" w:line="240" w:lineRule="auto"/>
              <w:ind w:right="118"/>
              <w:contextualSpacing/>
              <w:rPr>
                <w:rFonts w:cs="Calibri"/>
                <w:b/>
                <w:bCs/>
                <w:noProof/>
                <w:sz w:val="24"/>
                <w:szCs w:val="24"/>
              </w:rPr>
            </w:pPr>
            <w:r w:rsidRPr="00C865FB">
              <w:rPr>
                <w:rFonts w:cs="Calibri"/>
                <w:b/>
                <w:bCs/>
                <w:sz w:val="24"/>
                <w:szCs w:val="24"/>
              </w:rPr>
              <w:t>Reports to</w:t>
            </w:r>
          </w:p>
        </w:tc>
        <w:tc>
          <w:tcPr>
            <w:tcW w:w="7235" w:type="dxa"/>
          </w:tcPr>
          <w:p w14:paraId="19524D27" w14:textId="77777777" w:rsidR="004665DD" w:rsidRPr="00C865FB" w:rsidRDefault="004665DD" w:rsidP="00427359">
            <w:pPr>
              <w:spacing w:after="0" w:line="240" w:lineRule="auto"/>
              <w:ind w:right="118"/>
              <w:contextualSpacing/>
              <w:rPr>
                <w:rFonts w:cs="Calibri"/>
                <w:noProof/>
                <w:sz w:val="24"/>
                <w:szCs w:val="24"/>
              </w:rPr>
            </w:pPr>
            <w:r w:rsidRPr="00C865FB">
              <w:rPr>
                <w:rFonts w:cs="Calibri"/>
                <w:noProof/>
                <w:sz w:val="24"/>
                <w:szCs w:val="24"/>
              </w:rPr>
              <w:t>Head of Public Health Programmes</w:t>
            </w:r>
          </w:p>
        </w:tc>
      </w:tr>
      <w:tr w:rsidR="004665DD" w:rsidRPr="00C865FB" w14:paraId="483A8D7A" w14:textId="77777777" w:rsidTr="00427359">
        <w:tc>
          <w:tcPr>
            <w:tcW w:w="2263" w:type="dxa"/>
          </w:tcPr>
          <w:p w14:paraId="4A03F3B7" w14:textId="77777777" w:rsidR="004665DD" w:rsidRPr="00C865FB" w:rsidRDefault="004665DD" w:rsidP="00427359">
            <w:pPr>
              <w:spacing w:after="0" w:line="240" w:lineRule="auto"/>
              <w:ind w:right="118"/>
              <w:contextualSpacing/>
              <w:rPr>
                <w:rFonts w:cs="Calibri"/>
                <w:b/>
                <w:bCs/>
                <w:noProof/>
                <w:sz w:val="24"/>
                <w:szCs w:val="24"/>
              </w:rPr>
            </w:pPr>
            <w:r w:rsidRPr="00C865FB">
              <w:rPr>
                <w:rFonts w:cs="Calibri"/>
                <w:b/>
                <w:bCs/>
                <w:sz w:val="24"/>
                <w:szCs w:val="24"/>
              </w:rPr>
              <w:t>Job family</w:t>
            </w:r>
          </w:p>
        </w:tc>
        <w:tc>
          <w:tcPr>
            <w:tcW w:w="7235" w:type="dxa"/>
          </w:tcPr>
          <w:p w14:paraId="14A9915E" w14:textId="77777777" w:rsidR="004665DD" w:rsidRPr="00C865FB" w:rsidRDefault="004665DD" w:rsidP="00427359">
            <w:pPr>
              <w:spacing w:after="0" w:line="240" w:lineRule="auto"/>
              <w:ind w:right="118"/>
              <w:contextualSpacing/>
              <w:rPr>
                <w:rFonts w:cs="Calibri"/>
                <w:noProof/>
                <w:sz w:val="24"/>
                <w:szCs w:val="24"/>
              </w:rPr>
            </w:pPr>
            <w:r w:rsidRPr="00C865FB">
              <w:rPr>
                <w:rFonts w:cs="Calibri"/>
                <w:noProof/>
                <w:sz w:val="24"/>
                <w:szCs w:val="24"/>
              </w:rPr>
              <w:t>Professional and Technical</w:t>
            </w:r>
          </w:p>
        </w:tc>
      </w:tr>
      <w:tr w:rsidR="004665DD" w:rsidRPr="00C865FB" w14:paraId="1FCA1A92" w14:textId="77777777" w:rsidTr="00427359">
        <w:tc>
          <w:tcPr>
            <w:tcW w:w="2263" w:type="dxa"/>
          </w:tcPr>
          <w:p w14:paraId="0952625B" w14:textId="77777777" w:rsidR="004665DD" w:rsidRPr="00C865FB" w:rsidRDefault="004665DD" w:rsidP="00427359">
            <w:pPr>
              <w:spacing w:after="0" w:line="240" w:lineRule="auto"/>
              <w:ind w:right="118"/>
              <w:contextualSpacing/>
              <w:rPr>
                <w:rFonts w:cs="Calibri"/>
                <w:b/>
                <w:bCs/>
                <w:noProof/>
                <w:sz w:val="24"/>
                <w:szCs w:val="24"/>
              </w:rPr>
            </w:pPr>
            <w:r w:rsidRPr="00C865FB">
              <w:rPr>
                <w:rFonts w:cs="Calibri"/>
                <w:b/>
                <w:bCs/>
                <w:sz w:val="24"/>
                <w:szCs w:val="24"/>
              </w:rPr>
              <w:t>Grade</w:t>
            </w:r>
            <w:r w:rsidRPr="00C865FB">
              <w:rPr>
                <w:rFonts w:cs="Calibri"/>
                <w:b/>
                <w:bCs/>
                <w:sz w:val="24"/>
                <w:szCs w:val="24"/>
              </w:rPr>
              <w:tab/>
            </w:r>
          </w:p>
        </w:tc>
        <w:tc>
          <w:tcPr>
            <w:tcW w:w="7235" w:type="dxa"/>
          </w:tcPr>
          <w:p w14:paraId="3893F927" w14:textId="77777777" w:rsidR="004665DD" w:rsidRPr="00C865FB" w:rsidRDefault="004665DD" w:rsidP="00427359">
            <w:pPr>
              <w:spacing w:after="0" w:line="240" w:lineRule="auto"/>
              <w:ind w:right="118"/>
              <w:contextualSpacing/>
              <w:rPr>
                <w:rFonts w:cs="Calibri"/>
                <w:noProof/>
                <w:sz w:val="24"/>
                <w:szCs w:val="24"/>
              </w:rPr>
            </w:pPr>
            <w:r w:rsidRPr="00C865FB">
              <w:rPr>
                <w:rFonts w:cs="Calibri"/>
                <w:noProof/>
                <w:sz w:val="24"/>
                <w:szCs w:val="24"/>
              </w:rPr>
              <w:t>I</w:t>
            </w:r>
          </w:p>
        </w:tc>
      </w:tr>
      <w:tr w:rsidR="004665DD" w:rsidRPr="00C865FB" w14:paraId="7EC38CFA" w14:textId="77777777" w:rsidTr="00427359">
        <w:tc>
          <w:tcPr>
            <w:tcW w:w="2263" w:type="dxa"/>
          </w:tcPr>
          <w:p w14:paraId="276A1EDE" w14:textId="77777777" w:rsidR="004665DD" w:rsidRPr="00C865FB" w:rsidRDefault="004665DD" w:rsidP="00427359">
            <w:pPr>
              <w:spacing w:after="0" w:line="240" w:lineRule="auto"/>
              <w:ind w:right="118"/>
              <w:contextualSpacing/>
              <w:rPr>
                <w:rFonts w:cs="Calibri"/>
                <w:b/>
                <w:bCs/>
                <w:noProof/>
                <w:sz w:val="24"/>
                <w:szCs w:val="24"/>
              </w:rPr>
            </w:pPr>
            <w:r w:rsidRPr="00C865FB">
              <w:rPr>
                <w:rFonts w:cs="Calibri"/>
                <w:b/>
                <w:bCs/>
                <w:sz w:val="24"/>
                <w:szCs w:val="24"/>
              </w:rPr>
              <w:t>Political restricted?</w:t>
            </w:r>
          </w:p>
        </w:tc>
        <w:tc>
          <w:tcPr>
            <w:tcW w:w="7235" w:type="dxa"/>
          </w:tcPr>
          <w:p w14:paraId="2D2EFD98" w14:textId="77777777" w:rsidR="004665DD" w:rsidRPr="00C865FB" w:rsidRDefault="004665DD" w:rsidP="00427359">
            <w:pPr>
              <w:spacing w:after="0" w:line="240" w:lineRule="auto"/>
              <w:ind w:right="118"/>
              <w:contextualSpacing/>
              <w:rPr>
                <w:rFonts w:cs="Calibri"/>
                <w:noProof/>
                <w:sz w:val="24"/>
                <w:szCs w:val="24"/>
              </w:rPr>
            </w:pPr>
            <w:r w:rsidRPr="00C865FB">
              <w:rPr>
                <w:rFonts w:cs="Calibri"/>
                <w:noProof/>
                <w:sz w:val="24"/>
                <w:szCs w:val="24"/>
              </w:rPr>
              <w:t>N</w:t>
            </w:r>
          </w:p>
        </w:tc>
      </w:tr>
      <w:tr w:rsidR="004665DD" w:rsidRPr="00C865FB" w14:paraId="12DABDAD" w14:textId="77777777" w:rsidTr="00427359">
        <w:tc>
          <w:tcPr>
            <w:tcW w:w="2263" w:type="dxa"/>
          </w:tcPr>
          <w:p w14:paraId="2F044E14" w14:textId="77777777" w:rsidR="004665DD" w:rsidRPr="00C865FB" w:rsidRDefault="004665DD" w:rsidP="00427359">
            <w:pPr>
              <w:spacing w:after="0" w:line="240" w:lineRule="auto"/>
              <w:ind w:right="118"/>
              <w:contextualSpacing/>
              <w:rPr>
                <w:rFonts w:cs="Calibri"/>
                <w:b/>
                <w:bCs/>
                <w:sz w:val="24"/>
                <w:szCs w:val="24"/>
              </w:rPr>
            </w:pPr>
            <w:r w:rsidRPr="00C865FB">
              <w:rPr>
                <w:rFonts w:cs="Calibri"/>
                <w:b/>
                <w:bCs/>
                <w:sz w:val="24"/>
                <w:szCs w:val="24"/>
              </w:rPr>
              <w:t>DBS required?</w:t>
            </w:r>
          </w:p>
        </w:tc>
        <w:tc>
          <w:tcPr>
            <w:tcW w:w="7235" w:type="dxa"/>
          </w:tcPr>
          <w:p w14:paraId="53342776" w14:textId="77777777" w:rsidR="004665DD" w:rsidRPr="00C865FB" w:rsidRDefault="004665DD" w:rsidP="00427359">
            <w:pPr>
              <w:spacing w:after="0" w:line="240" w:lineRule="auto"/>
              <w:ind w:right="118"/>
              <w:contextualSpacing/>
              <w:rPr>
                <w:rFonts w:cs="Calibri"/>
                <w:noProof/>
                <w:sz w:val="24"/>
                <w:szCs w:val="24"/>
              </w:rPr>
            </w:pPr>
            <w:r w:rsidRPr="00C865FB">
              <w:rPr>
                <w:rFonts w:cs="Calibri"/>
                <w:noProof/>
                <w:sz w:val="24"/>
                <w:szCs w:val="24"/>
              </w:rPr>
              <w:t xml:space="preserve">N </w:t>
            </w:r>
          </w:p>
        </w:tc>
      </w:tr>
      <w:tr w:rsidR="004665DD" w:rsidRPr="00C865FB" w14:paraId="61ACD140" w14:textId="77777777" w:rsidTr="00427359">
        <w:tc>
          <w:tcPr>
            <w:tcW w:w="2263" w:type="dxa"/>
          </w:tcPr>
          <w:p w14:paraId="6CAB4739" w14:textId="77777777" w:rsidR="004665DD" w:rsidRPr="00C865FB" w:rsidRDefault="004665DD" w:rsidP="00427359">
            <w:pPr>
              <w:spacing w:after="0" w:line="240" w:lineRule="auto"/>
              <w:ind w:right="118"/>
              <w:contextualSpacing/>
              <w:rPr>
                <w:rFonts w:cs="Calibri"/>
                <w:b/>
                <w:bCs/>
                <w:noProof/>
                <w:sz w:val="24"/>
                <w:szCs w:val="24"/>
              </w:rPr>
            </w:pPr>
            <w:r w:rsidRPr="00C865FB">
              <w:rPr>
                <w:rFonts w:cs="Calibri"/>
                <w:b/>
                <w:bCs/>
                <w:sz w:val="24"/>
                <w:szCs w:val="24"/>
              </w:rPr>
              <w:t>Date</w:t>
            </w:r>
            <w:r w:rsidRPr="00C865FB">
              <w:rPr>
                <w:rFonts w:cs="Calibri"/>
                <w:sz w:val="24"/>
                <w:szCs w:val="24"/>
              </w:rPr>
              <w:tab/>
            </w:r>
          </w:p>
        </w:tc>
        <w:tc>
          <w:tcPr>
            <w:tcW w:w="7235" w:type="dxa"/>
          </w:tcPr>
          <w:p w14:paraId="01D84A73" w14:textId="7926127F" w:rsidR="004665DD" w:rsidRPr="00C865FB" w:rsidRDefault="00C25F23" w:rsidP="00427359">
            <w:pPr>
              <w:spacing w:after="0" w:line="240" w:lineRule="auto"/>
              <w:ind w:right="118"/>
              <w:contextualSpacing/>
              <w:rPr>
                <w:rFonts w:cs="Calibri"/>
                <w:noProof/>
                <w:sz w:val="24"/>
                <w:szCs w:val="24"/>
              </w:rPr>
            </w:pPr>
            <w:r>
              <w:rPr>
                <w:rFonts w:cs="Calibri"/>
                <w:noProof/>
                <w:sz w:val="24"/>
                <w:szCs w:val="24"/>
              </w:rPr>
              <w:t>March 202</w:t>
            </w:r>
            <w:r w:rsidR="002B70D9">
              <w:rPr>
                <w:rFonts w:cs="Calibri"/>
                <w:noProof/>
                <w:sz w:val="24"/>
                <w:szCs w:val="24"/>
              </w:rPr>
              <w:t>6</w:t>
            </w:r>
          </w:p>
        </w:tc>
      </w:tr>
      <w:tr w:rsidR="004665DD" w:rsidRPr="00C865FB" w14:paraId="4A0D922B" w14:textId="77777777" w:rsidTr="00427359">
        <w:tc>
          <w:tcPr>
            <w:tcW w:w="2263" w:type="dxa"/>
          </w:tcPr>
          <w:p w14:paraId="3DE47C4A" w14:textId="77777777" w:rsidR="004665DD" w:rsidRPr="00C865FB" w:rsidRDefault="004665DD" w:rsidP="00427359">
            <w:pPr>
              <w:spacing w:after="0" w:line="240" w:lineRule="auto"/>
              <w:ind w:right="118"/>
              <w:contextualSpacing/>
              <w:rPr>
                <w:rFonts w:cs="Calibri"/>
                <w:b/>
                <w:bCs/>
                <w:noProof/>
                <w:sz w:val="24"/>
                <w:szCs w:val="24"/>
              </w:rPr>
            </w:pPr>
            <w:r w:rsidRPr="00C865FB">
              <w:rPr>
                <w:rFonts w:cs="Calibri"/>
                <w:b/>
                <w:bCs/>
                <w:noProof/>
                <w:sz w:val="24"/>
                <w:szCs w:val="24"/>
              </w:rPr>
              <w:t>JE Code</w:t>
            </w:r>
          </w:p>
        </w:tc>
        <w:tc>
          <w:tcPr>
            <w:tcW w:w="7235" w:type="dxa"/>
          </w:tcPr>
          <w:p w14:paraId="0180ECEB" w14:textId="77777777" w:rsidR="004665DD" w:rsidRPr="00C865FB" w:rsidRDefault="004665DD" w:rsidP="00427359">
            <w:pPr>
              <w:spacing w:after="0" w:line="240" w:lineRule="auto"/>
              <w:ind w:right="118"/>
              <w:contextualSpacing/>
              <w:rPr>
                <w:rFonts w:cs="Calibri"/>
                <w:noProof/>
                <w:sz w:val="24"/>
                <w:szCs w:val="24"/>
              </w:rPr>
            </w:pPr>
            <w:r w:rsidRPr="00C865FB">
              <w:rPr>
                <w:rFonts w:cs="Calibri"/>
                <w:noProof/>
                <w:sz w:val="24"/>
                <w:szCs w:val="24"/>
              </w:rPr>
              <w:t>JE2161</w:t>
            </w:r>
          </w:p>
        </w:tc>
      </w:tr>
    </w:tbl>
    <w:p w14:paraId="63B7A3E4" w14:textId="77777777" w:rsidR="004665DD" w:rsidRPr="008B4CF5" w:rsidRDefault="004665DD" w:rsidP="004665DD">
      <w:pPr>
        <w:spacing w:after="0" w:line="240" w:lineRule="auto"/>
        <w:ind w:left="567" w:right="118"/>
        <w:contextualSpacing/>
        <w:rPr>
          <w:b/>
          <w:bCs/>
          <w:noProof/>
          <w:sz w:val="24"/>
          <w:szCs w:val="24"/>
        </w:rPr>
      </w:pPr>
    </w:p>
    <w:p w14:paraId="17175A17" w14:textId="77777777" w:rsidR="004665DD" w:rsidRPr="00C865FB" w:rsidRDefault="004665DD" w:rsidP="004665DD">
      <w:pPr>
        <w:spacing w:after="0" w:line="240" w:lineRule="auto"/>
        <w:ind w:left="567" w:right="118"/>
        <w:rPr>
          <w:rFonts w:ascii="Amasis MT Pro Black" w:hAnsi="Amasis MT Pro Black"/>
          <w:noProof/>
          <w:color w:val="000000"/>
          <w:sz w:val="32"/>
          <w:szCs w:val="32"/>
        </w:rPr>
      </w:pPr>
      <w:r w:rsidRPr="00C865FB">
        <w:rPr>
          <w:rFonts w:ascii="Amasis MT Pro Black" w:hAnsi="Amasis MT Pro Black"/>
          <w:noProof/>
          <w:color w:val="000000"/>
          <w:sz w:val="32"/>
          <w:szCs w:val="32"/>
        </w:rPr>
        <w:t xml:space="preserve">Key deliverables </w:t>
      </w:r>
    </w:p>
    <w:p w14:paraId="75E7EC49" w14:textId="77777777" w:rsidR="004665DD" w:rsidRDefault="004665DD" w:rsidP="004665DD">
      <w:pPr>
        <w:spacing w:after="0" w:line="240" w:lineRule="auto"/>
        <w:ind w:left="567" w:right="118"/>
        <w:rPr>
          <w:sz w:val="24"/>
          <w:szCs w:val="24"/>
        </w:rPr>
      </w:pPr>
    </w:p>
    <w:tbl>
      <w:tblPr>
        <w:tblW w:w="952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8950"/>
      </w:tblGrid>
      <w:tr w:rsidR="004665DD" w:rsidRPr="00C865FB" w14:paraId="294641FD" w14:textId="77777777" w:rsidTr="00525017">
        <w:tc>
          <w:tcPr>
            <w:tcW w:w="578" w:type="dxa"/>
          </w:tcPr>
          <w:p w14:paraId="5D6094BE" w14:textId="77777777" w:rsidR="004665DD" w:rsidRPr="00C865FB" w:rsidRDefault="004665DD" w:rsidP="00427359">
            <w:pPr>
              <w:spacing w:after="0" w:line="240" w:lineRule="auto"/>
              <w:ind w:right="118"/>
              <w:rPr>
                <w:b/>
                <w:bCs/>
                <w:sz w:val="24"/>
                <w:szCs w:val="24"/>
              </w:rPr>
            </w:pPr>
            <w:bookmarkStart w:id="0" w:name="_Hlk163835639"/>
            <w:r w:rsidRPr="00C865FB">
              <w:rPr>
                <w:b/>
                <w:bCs/>
                <w:sz w:val="24"/>
                <w:szCs w:val="24"/>
              </w:rPr>
              <w:t>1</w:t>
            </w:r>
          </w:p>
        </w:tc>
        <w:tc>
          <w:tcPr>
            <w:tcW w:w="8950" w:type="dxa"/>
          </w:tcPr>
          <w:p w14:paraId="5D373056" w14:textId="3F0557A5" w:rsidR="004665DD" w:rsidRPr="00724FAF" w:rsidRDefault="004665DD" w:rsidP="00427359">
            <w:pPr>
              <w:spacing w:after="0" w:line="240" w:lineRule="auto"/>
              <w:ind w:right="118"/>
              <w:rPr>
                <w:sz w:val="24"/>
                <w:szCs w:val="24"/>
              </w:rPr>
            </w:pPr>
            <w:r w:rsidRPr="00724FAF">
              <w:rPr>
                <w:sz w:val="24"/>
                <w:szCs w:val="24"/>
                <w:lang w:eastAsia="en-GB"/>
              </w:rPr>
              <w:t xml:space="preserve">Lead the strategic development and implementation of public health programmes </w:t>
            </w:r>
            <w:r w:rsidR="002B70D9" w:rsidRPr="00724FAF">
              <w:rPr>
                <w:sz w:val="24"/>
                <w:szCs w:val="24"/>
                <w:lang w:eastAsia="en-GB"/>
              </w:rPr>
              <w:t xml:space="preserve">across a </w:t>
            </w:r>
            <w:r w:rsidR="00636805" w:rsidRPr="00724FAF">
              <w:rPr>
                <w:sz w:val="24"/>
                <w:szCs w:val="24"/>
                <w:lang w:eastAsia="en-GB"/>
              </w:rPr>
              <w:t xml:space="preserve">portfolio of work </w:t>
            </w:r>
            <w:r w:rsidR="002B70D9" w:rsidRPr="00724FAF">
              <w:rPr>
                <w:sz w:val="24"/>
                <w:szCs w:val="24"/>
                <w:lang w:eastAsia="en-GB"/>
              </w:rPr>
              <w:t xml:space="preserve">including </w:t>
            </w:r>
            <w:r w:rsidRPr="00724FAF">
              <w:rPr>
                <w:sz w:val="24"/>
                <w:szCs w:val="24"/>
                <w:lang w:eastAsia="en-GB"/>
              </w:rPr>
              <w:t xml:space="preserve">public mental health </w:t>
            </w:r>
            <w:r w:rsidR="006D0EA5" w:rsidRPr="00724FAF">
              <w:rPr>
                <w:rFonts w:cs="Calibri"/>
                <w:sz w:val="24"/>
                <w:szCs w:val="24"/>
              </w:rPr>
              <w:t xml:space="preserve">encompassing suicide prevention, prevention and early intervention, </w:t>
            </w:r>
            <w:r w:rsidR="004E396F" w:rsidRPr="00724FAF">
              <w:rPr>
                <w:sz w:val="24"/>
                <w:szCs w:val="24"/>
                <w:lang w:eastAsia="en-GB"/>
              </w:rPr>
              <w:t xml:space="preserve">to </w:t>
            </w:r>
            <w:r w:rsidRPr="00724FAF">
              <w:rPr>
                <w:sz w:val="24"/>
                <w:szCs w:val="24"/>
                <w:lang w:eastAsia="en-GB"/>
              </w:rPr>
              <w:t>improve outcomes for the population of Bedford Borough, Central Bedfordshire, and Milton Keynes.</w:t>
            </w:r>
            <w:r w:rsidR="004C678A" w:rsidRPr="00724FAF">
              <w:rPr>
                <w:rFonts w:cs="Calibri"/>
                <w:sz w:val="24"/>
                <w:szCs w:val="24"/>
              </w:rPr>
              <w:t xml:space="preserve"> </w:t>
            </w:r>
          </w:p>
        </w:tc>
      </w:tr>
      <w:tr w:rsidR="004665DD" w:rsidRPr="00C865FB" w14:paraId="343EED95" w14:textId="77777777" w:rsidTr="00525017">
        <w:tc>
          <w:tcPr>
            <w:tcW w:w="578" w:type="dxa"/>
          </w:tcPr>
          <w:p w14:paraId="075E4C39" w14:textId="77777777" w:rsidR="004665DD" w:rsidRPr="00C865FB" w:rsidRDefault="004665DD" w:rsidP="00427359">
            <w:pPr>
              <w:spacing w:after="0" w:line="240" w:lineRule="auto"/>
              <w:ind w:right="118"/>
              <w:rPr>
                <w:b/>
                <w:bCs/>
                <w:sz w:val="24"/>
                <w:szCs w:val="24"/>
              </w:rPr>
            </w:pPr>
            <w:r w:rsidRPr="00C865FB">
              <w:rPr>
                <w:b/>
                <w:bCs/>
                <w:sz w:val="24"/>
                <w:szCs w:val="24"/>
              </w:rPr>
              <w:t>2</w:t>
            </w:r>
          </w:p>
        </w:tc>
        <w:tc>
          <w:tcPr>
            <w:tcW w:w="8950" w:type="dxa"/>
          </w:tcPr>
          <w:p w14:paraId="479EDADB" w14:textId="3DAD9C6A" w:rsidR="004665DD" w:rsidRPr="00724FAF" w:rsidRDefault="004665DD" w:rsidP="00427359">
            <w:pPr>
              <w:spacing w:after="0" w:line="240" w:lineRule="auto"/>
              <w:ind w:right="118"/>
              <w:rPr>
                <w:sz w:val="24"/>
                <w:szCs w:val="24"/>
              </w:rPr>
            </w:pPr>
            <w:r w:rsidRPr="00724FAF">
              <w:rPr>
                <w:rFonts w:cs="Calibri"/>
                <w:sz w:val="24"/>
                <w:szCs w:val="24"/>
              </w:rPr>
              <w:t>Work with and influence the work of partners</w:t>
            </w:r>
            <w:r w:rsidR="00BD6563" w:rsidRPr="00724FAF">
              <w:rPr>
                <w:rFonts w:cs="Calibri"/>
                <w:sz w:val="24"/>
                <w:szCs w:val="24"/>
              </w:rPr>
              <w:t>, including</w:t>
            </w:r>
            <w:r w:rsidRPr="00724FAF">
              <w:rPr>
                <w:rFonts w:cs="Calibri"/>
                <w:sz w:val="24"/>
                <w:szCs w:val="24"/>
              </w:rPr>
              <w:t xml:space="preserve"> </w:t>
            </w:r>
            <w:r w:rsidR="00E11389" w:rsidRPr="00724FAF">
              <w:rPr>
                <w:rFonts w:cs="Calibri"/>
                <w:sz w:val="24"/>
                <w:szCs w:val="24"/>
              </w:rPr>
              <w:t xml:space="preserve">Local Authorities, Health, and </w:t>
            </w:r>
            <w:r w:rsidR="00BD6563" w:rsidRPr="00724FAF">
              <w:rPr>
                <w:rFonts w:cs="Calibri"/>
                <w:sz w:val="24"/>
                <w:szCs w:val="24"/>
              </w:rPr>
              <w:t xml:space="preserve">the Voluntary and Community Sector, </w:t>
            </w:r>
            <w:r w:rsidRPr="00724FAF">
              <w:rPr>
                <w:rFonts w:cs="Calibri"/>
                <w:sz w:val="24"/>
                <w:szCs w:val="24"/>
              </w:rPr>
              <w:t xml:space="preserve">to </w:t>
            </w:r>
            <w:r w:rsidR="00B40341" w:rsidRPr="00724FAF">
              <w:rPr>
                <w:rFonts w:cs="Calibri"/>
                <w:sz w:val="24"/>
                <w:szCs w:val="24"/>
              </w:rPr>
              <w:t xml:space="preserve">ensure the </w:t>
            </w:r>
            <w:r w:rsidR="00122833" w:rsidRPr="00724FAF">
              <w:rPr>
                <w:rFonts w:cs="Calibri"/>
                <w:sz w:val="24"/>
                <w:szCs w:val="24"/>
              </w:rPr>
              <w:t>prioritisation</w:t>
            </w:r>
            <w:r w:rsidR="002F1FE0" w:rsidRPr="00724FAF">
              <w:rPr>
                <w:rFonts w:cs="Calibri"/>
                <w:sz w:val="24"/>
                <w:szCs w:val="24"/>
              </w:rPr>
              <w:t xml:space="preserve"> of</w:t>
            </w:r>
            <w:r w:rsidR="00122833" w:rsidRPr="00724FAF">
              <w:rPr>
                <w:rFonts w:cs="Calibri"/>
                <w:sz w:val="24"/>
                <w:szCs w:val="24"/>
              </w:rPr>
              <w:t xml:space="preserve"> </w:t>
            </w:r>
            <w:r w:rsidR="00C73124" w:rsidRPr="00724FAF">
              <w:rPr>
                <w:rFonts w:cs="Calibri"/>
                <w:sz w:val="24"/>
                <w:szCs w:val="24"/>
              </w:rPr>
              <w:t xml:space="preserve">and investment </w:t>
            </w:r>
            <w:r w:rsidR="00BD6563" w:rsidRPr="00724FAF">
              <w:rPr>
                <w:rFonts w:cs="Calibri"/>
                <w:sz w:val="24"/>
                <w:szCs w:val="24"/>
              </w:rPr>
              <w:t>in prevention</w:t>
            </w:r>
            <w:r w:rsidR="000C7670" w:rsidRPr="00724FAF">
              <w:rPr>
                <w:rFonts w:cs="Calibri"/>
                <w:sz w:val="24"/>
                <w:szCs w:val="24"/>
              </w:rPr>
              <w:t xml:space="preserve">; </w:t>
            </w:r>
            <w:r w:rsidRPr="00724FAF">
              <w:rPr>
                <w:rFonts w:cs="Calibri"/>
                <w:sz w:val="24"/>
                <w:szCs w:val="24"/>
              </w:rPr>
              <w:t xml:space="preserve">using data, insights and evidence to ensure that interventions are targeted at those </w:t>
            </w:r>
            <w:r w:rsidR="00AE0B90" w:rsidRPr="00724FAF">
              <w:rPr>
                <w:rFonts w:cs="Calibri"/>
                <w:sz w:val="24"/>
                <w:szCs w:val="24"/>
              </w:rPr>
              <w:t xml:space="preserve">with the greatest needs. </w:t>
            </w:r>
          </w:p>
        </w:tc>
      </w:tr>
      <w:tr w:rsidR="004665DD" w:rsidRPr="00C865FB" w14:paraId="03D4EA78" w14:textId="77777777" w:rsidTr="00525017">
        <w:tc>
          <w:tcPr>
            <w:tcW w:w="578" w:type="dxa"/>
          </w:tcPr>
          <w:p w14:paraId="6D2D47CA" w14:textId="48566679" w:rsidR="004665DD" w:rsidRPr="00C865FB" w:rsidRDefault="00C5121D" w:rsidP="00427359">
            <w:pPr>
              <w:spacing w:after="0" w:line="240" w:lineRule="auto"/>
              <w:ind w:right="118"/>
              <w:rPr>
                <w:b/>
                <w:bCs/>
                <w:sz w:val="24"/>
                <w:szCs w:val="24"/>
              </w:rPr>
            </w:pPr>
            <w:r>
              <w:rPr>
                <w:b/>
                <w:bCs/>
                <w:sz w:val="24"/>
                <w:szCs w:val="24"/>
              </w:rPr>
              <w:t>3</w:t>
            </w:r>
          </w:p>
        </w:tc>
        <w:tc>
          <w:tcPr>
            <w:tcW w:w="8950" w:type="dxa"/>
          </w:tcPr>
          <w:p w14:paraId="7D280857" w14:textId="4CF4E130" w:rsidR="004665DD" w:rsidRPr="00724FAF" w:rsidRDefault="00D8049B" w:rsidP="00427359">
            <w:pPr>
              <w:spacing w:after="0" w:line="240" w:lineRule="auto"/>
              <w:ind w:right="118"/>
              <w:rPr>
                <w:sz w:val="24"/>
                <w:szCs w:val="24"/>
              </w:rPr>
            </w:pPr>
            <w:r w:rsidRPr="00724FAF">
              <w:rPr>
                <w:rFonts w:cs="Calibri"/>
                <w:sz w:val="24"/>
                <w:szCs w:val="24"/>
              </w:rPr>
              <w:t>P</w:t>
            </w:r>
            <w:r w:rsidR="004D2263" w:rsidRPr="00724FAF">
              <w:rPr>
                <w:rFonts w:cs="Calibri"/>
                <w:sz w:val="24"/>
                <w:szCs w:val="24"/>
              </w:rPr>
              <w:t>rovide highly specialist advice on public health</w:t>
            </w:r>
            <w:r w:rsidR="00BD6563" w:rsidRPr="00724FAF">
              <w:rPr>
                <w:rFonts w:cs="Calibri"/>
                <w:sz w:val="24"/>
                <w:szCs w:val="24"/>
              </w:rPr>
              <w:t xml:space="preserve"> and </w:t>
            </w:r>
            <w:r w:rsidR="004D2263" w:rsidRPr="00724FAF">
              <w:rPr>
                <w:rFonts w:cs="Calibri"/>
                <w:sz w:val="24"/>
                <w:szCs w:val="24"/>
              </w:rPr>
              <w:t xml:space="preserve">health promotion policy and practice to individuals and organisations </w:t>
            </w:r>
            <w:r w:rsidR="00726B3B" w:rsidRPr="00724FAF">
              <w:rPr>
                <w:rFonts w:cs="Calibri"/>
                <w:sz w:val="24"/>
                <w:szCs w:val="24"/>
              </w:rPr>
              <w:t xml:space="preserve">to </w:t>
            </w:r>
            <w:r w:rsidR="004D2263" w:rsidRPr="00724FAF">
              <w:rPr>
                <w:rFonts w:cs="Calibri"/>
                <w:sz w:val="24"/>
                <w:szCs w:val="24"/>
              </w:rPr>
              <w:t>support on the development, interpretation and implementation of national policies</w:t>
            </w:r>
            <w:r w:rsidR="00960A5E" w:rsidRPr="00724FAF">
              <w:rPr>
                <w:rFonts w:cs="Calibri"/>
                <w:sz w:val="24"/>
                <w:szCs w:val="24"/>
              </w:rPr>
              <w:t xml:space="preserve"> which have a positive impact on health outcomes</w:t>
            </w:r>
            <w:r w:rsidR="004D2263" w:rsidRPr="00724FAF">
              <w:rPr>
                <w:rFonts w:cs="Calibri"/>
                <w:sz w:val="24"/>
                <w:szCs w:val="24"/>
              </w:rPr>
              <w:t xml:space="preserve">. </w:t>
            </w:r>
          </w:p>
        </w:tc>
      </w:tr>
      <w:tr w:rsidR="003449C0" w:rsidRPr="00C865FB" w14:paraId="72EC62A9" w14:textId="77777777" w:rsidTr="00525017">
        <w:tc>
          <w:tcPr>
            <w:tcW w:w="578" w:type="dxa"/>
          </w:tcPr>
          <w:p w14:paraId="1A33B09F" w14:textId="696FCDBE" w:rsidR="003449C0" w:rsidRPr="00C865FB" w:rsidRDefault="003449C0" w:rsidP="003449C0">
            <w:pPr>
              <w:spacing w:after="0" w:line="240" w:lineRule="auto"/>
              <w:ind w:right="118"/>
              <w:rPr>
                <w:b/>
                <w:bCs/>
                <w:sz w:val="24"/>
                <w:szCs w:val="24"/>
              </w:rPr>
            </w:pPr>
            <w:r>
              <w:rPr>
                <w:b/>
                <w:bCs/>
                <w:sz w:val="24"/>
                <w:szCs w:val="24"/>
              </w:rPr>
              <w:t>4</w:t>
            </w:r>
          </w:p>
        </w:tc>
        <w:tc>
          <w:tcPr>
            <w:tcW w:w="8950" w:type="dxa"/>
          </w:tcPr>
          <w:p w14:paraId="4C0B91FD" w14:textId="678269A3" w:rsidR="003449C0" w:rsidRPr="00724FAF" w:rsidRDefault="003449C0" w:rsidP="003449C0">
            <w:pPr>
              <w:spacing w:after="0" w:line="240" w:lineRule="auto"/>
              <w:ind w:right="118"/>
              <w:rPr>
                <w:sz w:val="24"/>
                <w:szCs w:val="24"/>
              </w:rPr>
            </w:pPr>
            <w:r w:rsidRPr="00724FAF">
              <w:rPr>
                <w:sz w:val="24"/>
                <w:szCs w:val="24"/>
              </w:rPr>
              <w:t xml:space="preserve">Provide specialist public health advice </w:t>
            </w:r>
            <w:r w:rsidR="00B3128E" w:rsidRPr="00724FAF">
              <w:rPr>
                <w:sz w:val="24"/>
                <w:szCs w:val="24"/>
              </w:rPr>
              <w:t>at</w:t>
            </w:r>
            <w:r w:rsidR="00726B3B" w:rsidRPr="00724FAF">
              <w:rPr>
                <w:sz w:val="24"/>
                <w:szCs w:val="24"/>
              </w:rPr>
              <w:t xml:space="preserve"> the different stages of </w:t>
            </w:r>
            <w:r w:rsidR="00B3128E" w:rsidRPr="00724FAF">
              <w:rPr>
                <w:sz w:val="24"/>
                <w:szCs w:val="24"/>
              </w:rPr>
              <w:t>commissioning</w:t>
            </w:r>
            <w:r w:rsidRPr="00724FAF">
              <w:rPr>
                <w:sz w:val="24"/>
                <w:szCs w:val="24"/>
              </w:rPr>
              <w:t xml:space="preserve"> </w:t>
            </w:r>
            <w:r w:rsidR="000F28C7" w:rsidRPr="00724FAF">
              <w:rPr>
                <w:sz w:val="24"/>
                <w:szCs w:val="24"/>
              </w:rPr>
              <w:t xml:space="preserve">including strategic planning, procuring services, and monitoring and </w:t>
            </w:r>
            <w:r w:rsidR="00B3128E" w:rsidRPr="00724FAF">
              <w:rPr>
                <w:sz w:val="24"/>
                <w:szCs w:val="24"/>
              </w:rPr>
              <w:t>evaluation</w:t>
            </w:r>
            <w:r w:rsidR="00122D30" w:rsidRPr="00724FAF">
              <w:rPr>
                <w:sz w:val="24"/>
                <w:szCs w:val="24"/>
              </w:rPr>
              <w:t xml:space="preserve">, to inform </w:t>
            </w:r>
            <w:r w:rsidRPr="00724FAF">
              <w:rPr>
                <w:sz w:val="24"/>
                <w:szCs w:val="24"/>
              </w:rPr>
              <w:t>the commissioning and/or decommissioning of services across organisation boundaries.</w:t>
            </w:r>
          </w:p>
        </w:tc>
      </w:tr>
      <w:tr w:rsidR="004665DD" w:rsidRPr="00C865FB" w14:paraId="4F1C490C" w14:textId="77777777" w:rsidTr="00525017">
        <w:tc>
          <w:tcPr>
            <w:tcW w:w="578" w:type="dxa"/>
          </w:tcPr>
          <w:p w14:paraId="7191DFBB" w14:textId="111B7BCB" w:rsidR="004665DD" w:rsidRPr="00C865FB" w:rsidRDefault="003449C0" w:rsidP="00427359">
            <w:pPr>
              <w:spacing w:after="0" w:line="240" w:lineRule="auto"/>
              <w:ind w:right="118"/>
              <w:rPr>
                <w:b/>
                <w:bCs/>
                <w:sz w:val="24"/>
                <w:szCs w:val="24"/>
              </w:rPr>
            </w:pPr>
            <w:r>
              <w:rPr>
                <w:b/>
                <w:bCs/>
                <w:sz w:val="24"/>
                <w:szCs w:val="24"/>
              </w:rPr>
              <w:t>5</w:t>
            </w:r>
          </w:p>
        </w:tc>
        <w:tc>
          <w:tcPr>
            <w:tcW w:w="8950" w:type="dxa"/>
          </w:tcPr>
          <w:p w14:paraId="04411055" w14:textId="5F0F631E" w:rsidR="004665DD" w:rsidRPr="00724FAF" w:rsidRDefault="004665DD" w:rsidP="00427359">
            <w:pPr>
              <w:spacing w:after="0" w:line="240" w:lineRule="auto"/>
              <w:ind w:right="118"/>
              <w:rPr>
                <w:sz w:val="24"/>
                <w:szCs w:val="24"/>
              </w:rPr>
            </w:pPr>
            <w:r w:rsidRPr="00724FAF">
              <w:rPr>
                <w:rFonts w:cs="Calibri"/>
                <w:sz w:val="24"/>
                <w:szCs w:val="24"/>
              </w:rPr>
              <w:t>Manage public health budget</w:t>
            </w:r>
            <w:r w:rsidR="00772DB6" w:rsidRPr="00724FAF">
              <w:rPr>
                <w:rFonts w:cs="Calibri"/>
                <w:sz w:val="24"/>
                <w:szCs w:val="24"/>
              </w:rPr>
              <w:t xml:space="preserve">s aligned to </w:t>
            </w:r>
            <w:r w:rsidR="00134B6D" w:rsidRPr="00724FAF">
              <w:rPr>
                <w:rFonts w:cs="Calibri"/>
                <w:sz w:val="24"/>
                <w:szCs w:val="24"/>
              </w:rPr>
              <w:t>portfolio of work</w:t>
            </w:r>
            <w:r w:rsidRPr="00724FAF">
              <w:rPr>
                <w:rFonts w:cs="Calibri"/>
                <w:sz w:val="24"/>
                <w:szCs w:val="24"/>
              </w:rPr>
              <w:t>, ensuring that interventions are based on evidence and deliver value for money; advocating for aligning resources to prevention, early intervention, and recovery in a financially challenged system.</w:t>
            </w:r>
          </w:p>
        </w:tc>
      </w:tr>
      <w:tr w:rsidR="004665DD" w:rsidRPr="00C865FB" w14:paraId="4196ECE6" w14:textId="77777777" w:rsidTr="00525017">
        <w:tc>
          <w:tcPr>
            <w:tcW w:w="578" w:type="dxa"/>
          </w:tcPr>
          <w:p w14:paraId="0B2B25BB" w14:textId="6C5A5BB9" w:rsidR="004665DD" w:rsidRPr="00C865FB" w:rsidRDefault="003449C0" w:rsidP="00427359">
            <w:pPr>
              <w:spacing w:after="0" w:line="240" w:lineRule="auto"/>
              <w:ind w:right="118"/>
              <w:rPr>
                <w:b/>
                <w:bCs/>
                <w:sz w:val="24"/>
                <w:szCs w:val="24"/>
              </w:rPr>
            </w:pPr>
            <w:r>
              <w:rPr>
                <w:b/>
                <w:bCs/>
                <w:sz w:val="24"/>
                <w:szCs w:val="24"/>
              </w:rPr>
              <w:t>6</w:t>
            </w:r>
          </w:p>
        </w:tc>
        <w:tc>
          <w:tcPr>
            <w:tcW w:w="8950" w:type="dxa"/>
          </w:tcPr>
          <w:p w14:paraId="11533EA5" w14:textId="757F0469" w:rsidR="004665DD" w:rsidRPr="00724FAF" w:rsidRDefault="004665DD" w:rsidP="00427359">
            <w:pPr>
              <w:spacing w:after="0" w:line="240" w:lineRule="auto"/>
              <w:ind w:right="118"/>
              <w:rPr>
                <w:sz w:val="24"/>
                <w:szCs w:val="24"/>
              </w:rPr>
            </w:pPr>
            <w:r w:rsidRPr="00724FAF">
              <w:rPr>
                <w:sz w:val="24"/>
                <w:szCs w:val="24"/>
              </w:rPr>
              <w:t>Line manage</w:t>
            </w:r>
            <w:r w:rsidR="00134B6D" w:rsidRPr="00724FAF">
              <w:rPr>
                <w:sz w:val="24"/>
                <w:szCs w:val="24"/>
              </w:rPr>
              <w:t xml:space="preserve">ment of a </w:t>
            </w:r>
            <w:r w:rsidRPr="00724FAF">
              <w:rPr>
                <w:sz w:val="24"/>
                <w:szCs w:val="24"/>
              </w:rPr>
              <w:t>Public Health Practitioner</w:t>
            </w:r>
            <w:r w:rsidR="00FE5367" w:rsidRPr="00724FAF">
              <w:rPr>
                <w:sz w:val="24"/>
                <w:szCs w:val="24"/>
              </w:rPr>
              <w:t xml:space="preserve">, </w:t>
            </w:r>
            <w:r w:rsidRPr="00724FAF">
              <w:rPr>
                <w:sz w:val="24"/>
                <w:szCs w:val="24"/>
              </w:rPr>
              <w:t xml:space="preserve">agree and monitor their work plans, and support their professional development to ensure effective delivery of </w:t>
            </w:r>
            <w:r w:rsidR="009B573C" w:rsidRPr="00724FAF">
              <w:rPr>
                <w:sz w:val="24"/>
                <w:szCs w:val="24"/>
              </w:rPr>
              <w:t xml:space="preserve">key </w:t>
            </w:r>
            <w:r w:rsidRPr="00724FAF">
              <w:rPr>
                <w:sz w:val="24"/>
                <w:szCs w:val="24"/>
              </w:rPr>
              <w:t>public health initiatives</w:t>
            </w:r>
            <w:r w:rsidR="009B573C" w:rsidRPr="00724FAF">
              <w:rPr>
                <w:sz w:val="24"/>
                <w:szCs w:val="24"/>
              </w:rPr>
              <w:t xml:space="preserve">. </w:t>
            </w:r>
          </w:p>
        </w:tc>
      </w:tr>
      <w:bookmarkEnd w:id="0"/>
    </w:tbl>
    <w:p w14:paraId="560B0CCB" w14:textId="77777777" w:rsidR="004665DD" w:rsidRDefault="004665DD" w:rsidP="004665DD">
      <w:pPr>
        <w:spacing w:after="0" w:line="240" w:lineRule="auto"/>
        <w:ind w:left="567" w:right="118"/>
        <w:rPr>
          <w:i/>
          <w:iCs/>
          <w:sz w:val="24"/>
          <w:szCs w:val="24"/>
        </w:rPr>
      </w:pPr>
    </w:p>
    <w:p w14:paraId="00F6AE67" w14:textId="247D2EF5" w:rsidR="004665DD" w:rsidRPr="009A58DA" w:rsidRDefault="004665DD" w:rsidP="004665DD">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Pr>
          <w:i/>
          <w:iCs/>
          <w:sz w:val="24"/>
          <w:szCs w:val="24"/>
        </w:rPr>
        <w:t xml:space="preserve"> city</w:t>
      </w:r>
      <w:r w:rsidRPr="009A58DA">
        <w:rPr>
          <w:i/>
          <w:iCs/>
          <w:sz w:val="24"/>
          <w:szCs w:val="24"/>
        </w:rPr>
        <w:t xml:space="preserve"> council wide needs</w:t>
      </w:r>
    </w:p>
    <w:p w14:paraId="128D530D" w14:textId="77777777" w:rsidR="004665DD" w:rsidRDefault="004665DD" w:rsidP="004665DD">
      <w:pPr>
        <w:spacing w:after="0" w:line="240" w:lineRule="auto"/>
        <w:ind w:left="567" w:right="118"/>
        <w:rPr>
          <w:sz w:val="24"/>
          <w:szCs w:val="24"/>
        </w:rPr>
      </w:pPr>
    </w:p>
    <w:p w14:paraId="73D731B4" w14:textId="77777777" w:rsidR="004665DD" w:rsidRPr="00C865FB" w:rsidRDefault="004665DD" w:rsidP="004665DD">
      <w:pPr>
        <w:spacing w:after="0" w:line="240" w:lineRule="auto"/>
        <w:ind w:left="567" w:right="118"/>
        <w:rPr>
          <w:rFonts w:ascii="Amasis MT Pro Black" w:hAnsi="Amasis MT Pro Black" w:cs="Calibri"/>
          <w:b/>
          <w:bCs/>
          <w:color w:val="000000"/>
          <w:sz w:val="32"/>
          <w:szCs w:val="32"/>
        </w:rPr>
      </w:pPr>
      <w:r w:rsidRPr="00C865FB">
        <w:rPr>
          <w:rFonts w:ascii="Amasis MT Pro Black" w:hAnsi="Amasis MT Pro Black" w:cs="Calibri"/>
          <w:b/>
          <w:bCs/>
          <w:color w:val="000000"/>
          <w:sz w:val="32"/>
          <w:szCs w:val="32"/>
        </w:rPr>
        <w:t xml:space="preserve">Essential requirements </w:t>
      </w:r>
      <w:r w:rsidRPr="00C865FB">
        <w:rPr>
          <w:rFonts w:cs="Calibri"/>
          <w:color w:val="000000"/>
          <w:sz w:val="24"/>
          <w:szCs w:val="24"/>
        </w:rPr>
        <w:t>Key skills, expertise, and qualifications</w:t>
      </w:r>
    </w:p>
    <w:p w14:paraId="219AAC72" w14:textId="77777777" w:rsidR="004665DD" w:rsidRDefault="004665DD" w:rsidP="004665DD">
      <w:pPr>
        <w:spacing w:after="0" w:line="240" w:lineRule="auto"/>
        <w:ind w:left="567" w:right="118"/>
        <w:rPr>
          <w:noProof/>
          <w:sz w:val="24"/>
          <w:szCs w:val="24"/>
        </w:rPr>
      </w:pPr>
    </w:p>
    <w:tbl>
      <w:tblPr>
        <w:tblW w:w="952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072"/>
      </w:tblGrid>
      <w:tr w:rsidR="004665DD" w:rsidRPr="00C865FB" w14:paraId="16255996" w14:textId="77777777" w:rsidTr="00427359">
        <w:tc>
          <w:tcPr>
            <w:tcW w:w="456" w:type="dxa"/>
          </w:tcPr>
          <w:p w14:paraId="45D6542D" w14:textId="77777777" w:rsidR="004665DD" w:rsidRPr="00C865FB" w:rsidRDefault="004665DD" w:rsidP="00427359">
            <w:pPr>
              <w:spacing w:after="0" w:line="240" w:lineRule="auto"/>
              <w:ind w:right="118"/>
              <w:rPr>
                <w:b/>
                <w:bCs/>
                <w:sz w:val="24"/>
                <w:szCs w:val="24"/>
              </w:rPr>
            </w:pPr>
            <w:r w:rsidRPr="00C865FB">
              <w:rPr>
                <w:b/>
                <w:bCs/>
                <w:sz w:val="24"/>
                <w:szCs w:val="24"/>
              </w:rPr>
              <w:lastRenderedPageBreak/>
              <w:t>1</w:t>
            </w:r>
          </w:p>
        </w:tc>
        <w:tc>
          <w:tcPr>
            <w:tcW w:w="9072" w:type="dxa"/>
          </w:tcPr>
          <w:p w14:paraId="4A68161E" w14:textId="056D8ABA" w:rsidR="004665DD" w:rsidRPr="00724FAF" w:rsidRDefault="008A5BFC" w:rsidP="00427359">
            <w:pPr>
              <w:spacing w:after="0" w:line="240" w:lineRule="auto"/>
              <w:ind w:right="118"/>
              <w:rPr>
                <w:sz w:val="24"/>
                <w:szCs w:val="24"/>
              </w:rPr>
            </w:pPr>
            <w:proofErr w:type="spellStart"/>
            <w:proofErr w:type="gramStart"/>
            <w:r w:rsidRPr="00724FAF">
              <w:rPr>
                <w:color w:val="000000"/>
                <w:sz w:val="24"/>
                <w:szCs w:val="24"/>
              </w:rPr>
              <w:t>Masters</w:t>
            </w:r>
            <w:proofErr w:type="spellEnd"/>
            <w:r w:rsidRPr="00724FAF">
              <w:rPr>
                <w:color w:val="000000"/>
                <w:sz w:val="24"/>
                <w:szCs w:val="24"/>
              </w:rPr>
              <w:t xml:space="preserve"> in Public Health</w:t>
            </w:r>
            <w:proofErr w:type="gramEnd"/>
            <w:r w:rsidRPr="00724FAF">
              <w:rPr>
                <w:color w:val="000000"/>
                <w:sz w:val="24"/>
                <w:szCs w:val="24"/>
              </w:rPr>
              <w:t xml:space="preserve"> or relevant </w:t>
            </w:r>
            <w:proofErr w:type="gramStart"/>
            <w:r w:rsidRPr="00724FAF">
              <w:rPr>
                <w:color w:val="000000"/>
                <w:sz w:val="24"/>
                <w:szCs w:val="24"/>
              </w:rPr>
              <w:t>Masters</w:t>
            </w:r>
            <w:proofErr w:type="gramEnd"/>
            <w:r w:rsidRPr="00724FAF">
              <w:rPr>
                <w:color w:val="000000"/>
                <w:sz w:val="24"/>
                <w:szCs w:val="24"/>
              </w:rPr>
              <w:t xml:space="preserve"> </w:t>
            </w:r>
            <w:r w:rsidR="005B5FCF" w:rsidRPr="00724FAF">
              <w:rPr>
                <w:color w:val="000000"/>
                <w:sz w:val="24"/>
                <w:szCs w:val="24"/>
              </w:rPr>
              <w:t xml:space="preserve">level study; relevant first degree or </w:t>
            </w:r>
            <w:r w:rsidR="005B2FCC" w:rsidRPr="00724FAF">
              <w:rPr>
                <w:color w:val="000000"/>
                <w:sz w:val="24"/>
                <w:szCs w:val="24"/>
              </w:rPr>
              <w:t>equivalent</w:t>
            </w:r>
            <w:r w:rsidR="005B5FCF" w:rsidRPr="00724FAF">
              <w:rPr>
                <w:color w:val="000000"/>
                <w:sz w:val="24"/>
                <w:szCs w:val="24"/>
              </w:rPr>
              <w:t xml:space="preserve"> professional </w:t>
            </w:r>
            <w:r w:rsidR="005B2FCC" w:rsidRPr="00724FAF">
              <w:rPr>
                <w:color w:val="000000"/>
                <w:sz w:val="24"/>
                <w:szCs w:val="24"/>
              </w:rPr>
              <w:t xml:space="preserve">qualifications. </w:t>
            </w:r>
            <w:r w:rsidR="00B20877" w:rsidRPr="00724FAF">
              <w:rPr>
                <w:color w:val="000000"/>
                <w:sz w:val="24"/>
                <w:szCs w:val="24"/>
              </w:rPr>
              <w:t>Management and / or project management training/ qualification is desirable.</w:t>
            </w:r>
          </w:p>
        </w:tc>
      </w:tr>
      <w:tr w:rsidR="007E362B" w:rsidRPr="00C865FB" w14:paraId="36FB45C2" w14:textId="77777777" w:rsidTr="00427359">
        <w:tc>
          <w:tcPr>
            <w:tcW w:w="456" w:type="dxa"/>
          </w:tcPr>
          <w:p w14:paraId="6A4D525F" w14:textId="17DDE1C5" w:rsidR="007E362B" w:rsidRPr="00C865FB" w:rsidRDefault="00EE4BEE" w:rsidP="00427359">
            <w:pPr>
              <w:spacing w:after="0" w:line="240" w:lineRule="auto"/>
              <w:ind w:right="118"/>
              <w:rPr>
                <w:b/>
                <w:bCs/>
                <w:sz w:val="24"/>
                <w:szCs w:val="24"/>
              </w:rPr>
            </w:pPr>
            <w:r>
              <w:rPr>
                <w:b/>
                <w:bCs/>
                <w:sz w:val="24"/>
                <w:szCs w:val="24"/>
              </w:rPr>
              <w:t>2</w:t>
            </w:r>
          </w:p>
        </w:tc>
        <w:tc>
          <w:tcPr>
            <w:tcW w:w="9072" w:type="dxa"/>
          </w:tcPr>
          <w:p w14:paraId="335DF7E1" w14:textId="566FA22A" w:rsidR="007E362B" w:rsidRPr="00724FAF" w:rsidRDefault="0013038E" w:rsidP="00427359">
            <w:pPr>
              <w:spacing w:after="0" w:line="240" w:lineRule="auto"/>
              <w:ind w:right="118"/>
              <w:rPr>
                <w:color w:val="000000"/>
                <w:sz w:val="24"/>
                <w:szCs w:val="24"/>
              </w:rPr>
            </w:pPr>
            <w:r w:rsidRPr="00724FAF">
              <w:rPr>
                <w:color w:val="000000"/>
                <w:sz w:val="24"/>
                <w:szCs w:val="24"/>
              </w:rPr>
              <w:t xml:space="preserve">Knowledge of Public Health </w:t>
            </w:r>
            <w:r w:rsidR="008C0A54" w:rsidRPr="00724FAF">
              <w:rPr>
                <w:color w:val="000000"/>
                <w:sz w:val="24"/>
                <w:szCs w:val="24"/>
              </w:rPr>
              <w:t>principles</w:t>
            </w:r>
            <w:r w:rsidRPr="00724FAF">
              <w:rPr>
                <w:color w:val="000000"/>
                <w:sz w:val="24"/>
                <w:szCs w:val="24"/>
              </w:rPr>
              <w:t xml:space="preserve"> and theories </w:t>
            </w:r>
            <w:r w:rsidR="008C0A54" w:rsidRPr="00724FAF">
              <w:rPr>
                <w:color w:val="000000"/>
                <w:sz w:val="24"/>
                <w:szCs w:val="24"/>
              </w:rPr>
              <w:t xml:space="preserve">with demonstrable experience of applying </w:t>
            </w:r>
            <w:r w:rsidR="00614635" w:rsidRPr="00724FAF">
              <w:rPr>
                <w:color w:val="000000"/>
                <w:sz w:val="24"/>
                <w:szCs w:val="24"/>
              </w:rPr>
              <w:t xml:space="preserve">this knowledge </w:t>
            </w:r>
            <w:r w:rsidR="008C0A54" w:rsidRPr="00724FAF">
              <w:rPr>
                <w:color w:val="000000"/>
                <w:sz w:val="24"/>
                <w:szCs w:val="24"/>
              </w:rPr>
              <w:t>in practice to improve population level outcomes</w:t>
            </w:r>
            <w:r w:rsidR="00FB76D6" w:rsidRPr="00724FAF">
              <w:rPr>
                <w:color w:val="000000"/>
                <w:sz w:val="24"/>
                <w:szCs w:val="24"/>
              </w:rPr>
              <w:t xml:space="preserve">; this includes knowledge of the wider determinants of health, </w:t>
            </w:r>
            <w:r w:rsidR="00146143" w:rsidRPr="00724FAF">
              <w:rPr>
                <w:color w:val="000000"/>
                <w:sz w:val="24"/>
                <w:szCs w:val="24"/>
              </w:rPr>
              <w:t>health inequalities, and effective health improvement methodologies.</w:t>
            </w:r>
          </w:p>
        </w:tc>
      </w:tr>
      <w:tr w:rsidR="004665DD" w:rsidRPr="00C865FB" w14:paraId="47C67CFF" w14:textId="77777777" w:rsidTr="00427359">
        <w:tc>
          <w:tcPr>
            <w:tcW w:w="456" w:type="dxa"/>
          </w:tcPr>
          <w:p w14:paraId="31EA9D6B" w14:textId="77777777" w:rsidR="004665DD" w:rsidRPr="00C865FB" w:rsidRDefault="004665DD" w:rsidP="00427359">
            <w:pPr>
              <w:spacing w:after="0" w:line="240" w:lineRule="auto"/>
              <w:ind w:right="118"/>
              <w:rPr>
                <w:b/>
                <w:bCs/>
                <w:sz w:val="24"/>
                <w:szCs w:val="24"/>
              </w:rPr>
            </w:pPr>
            <w:r w:rsidRPr="00C865FB">
              <w:rPr>
                <w:b/>
                <w:bCs/>
                <w:sz w:val="24"/>
                <w:szCs w:val="24"/>
              </w:rPr>
              <w:t>2</w:t>
            </w:r>
          </w:p>
        </w:tc>
        <w:tc>
          <w:tcPr>
            <w:tcW w:w="9072" w:type="dxa"/>
          </w:tcPr>
          <w:p w14:paraId="10A5E81E" w14:textId="56A44F7E" w:rsidR="004665DD" w:rsidRPr="00724FAF" w:rsidRDefault="004665DD" w:rsidP="00427359">
            <w:pPr>
              <w:spacing w:after="0" w:line="240" w:lineRule="auto"/>
              <w:ind w:right="118"/>
              <w:rPr>
                <w:sz w:val="24"/>
                <w:szCs w:val="24"/>
              </w:rPr>
            </w:pPr>
            <w:r w:rsidRPr="00724FAF">
              <w:rPr>
                <w:rFonts w:cs="Calibri"/>
                <w:sz w:val="24"/>
                <w:szCs w:val="24"/>
              </w:rPr>
              <w:t xml:space="preserve">Proven track record of </w:t>
            </w:r>
            <w:r w:rsidR="00475990" w:rsidRPr="00724FAF">
              <w:rPr>
                <w:rFonts w:cs="Calibri"/>
                <w:sz w:val="24"/>
                <w:szCs w:val="24"/>
              </w:rPr>
              <w:t>utilising</w:t>
            </w:r>
            <w:r w:rsidR="00E23A1D" w:rsidRPr="00724FAF">
              <w:rPr>
                <w:rFonts w:cs="Calibri"/>
                <w:sz w:val="24"/>
                <w:szCs w:val="24"/>
              </w:rPr>
              <w:t xml:space="preserve"> population health management approach</w:t>
            </w:r>
            <w:r w:rsidR="00FB4FCB" w:rsidRPr="00724FAF">
              <w:rPr>
                <w:rFonts w:cs="Calibri"/>
                <w:sz w:val="24"/>
                <w:szCs w:val="24"/>
              </w:rPr>
              <w:t>es</w:t>
            </w:r>
            <w:r w:rsidR="00E23A1D" w:rsidRPr="00724FAF">
              <w:rPr>
                <w:rFonts w:cs="Calibri"/>
                <w:sz w:val="24"/>
                <w:szCs w:val="24"/>
              </w:rPr>
              <w:t xml:space="preserve"> to </w:t>
            </w:r>
            <w:r w:rsidRPr="00724FAF">
              <w:rPr>
                <w:rFonts w:cs="Calibri"/>
                <w:sz w:val="24"/>
                <w:szCs w:val="24"/>
              </w:rPr>
              <w:t>develop the strategic vision and demonstrat</w:t>
            </w:r>
            <w:r w:rsidR="00D70C2D" w:rsidRPr="00724FAF">
              <w:rPr>
                <w:rFonts w:cs="Calibri"/>
                <w:sz w:val="24"/>
                <w:szCs w:val="24"/>
              </w:rPr>
              <w:t>e</w:t>
            </w:r>
            <w:r w:rsidRPr="00724FAF">
              <w:rPr>
                <w:rFonts w:cs="Calibri"/>
                <w:sz w:val="24"/>
                <w:szCs w:val="24"/>
              </w:rPr>
              <w:t xml:space="preserve"> positive impact in complex work areas</w:t>
            </w:r>
            <w:r w:rsidR="00B2673B" w:rsidRPr="00724FAF">
              <w:rPr>
                <w:rFonts w:cs="Calibri"/>
                <w:sz w:val="24"/>
                <w:szCs w:val="24"/>
              </w:rPr>
              <w:t xml:space="preserve">. </w:t>
            </w:r>
            <w:r w:rsidRPr="00724FAF">
              <w:rPr>
                <w:rFonts w:cs="Calibri"/>
                <w:sz w:val="24"/>
                <w:szCs w:val="24"/>
              </w:rPr>
              <w:t xml:space="preserve"> </w:t>
            </w:r>
          </w:p>
        </w:tc>
      </w:tr>
      <w:tr w:rsidR="004665DD" w:rsidRPr="00C865FB" w14:paraId="1D379693" w14:textId="77777777" w:rsidTr="00427359">
        <w:tc>
          <w:tcPr>
            <w:tcW w:w="456" w:type="dxa"/>
          </w:tcPr>
          <w:p w14:paraId="24B62206" w14:textId="77777777" w:rsidR="004665DD" w:rsidRPr="00C865FB" w:rsidRDefault="004665DD" w:rsidP="00427359">
            <w:pPr>
              <w:spacing w:after="0" w:line="240" w:lineRule="auto"/>
              <w:ind w:right="118"/>
              <w:rPr>
                <w:b/>
                <w:bCs/>
                <w:sz w:val="24"/>
                <w:szCs w:val="24"/>
              </w:rPr>
            </w:pPr>
            <w:r w:rsidRPr="00C865FB">
              <w:rPr>
                <w:b/>
                <w:bCs/>
                <w:sz w:val="24"/>
                <w:szCs w:val="24"/>
              </w:rPr>
              <w:t>3</w:t>
            </w:r>
          </w:p>
        </w:tc>
        <w:tc>
          <w:tcPr>
            <w:tcW w:w="9072" w:type="dxa"/>
          </w:tcPr>
          <w:p w14:paraId="7A43FC6B" w14:textId="77777777" w:rsidR="004665DD" w:rsidRPr="00724FAF" w:rsidRDefault="004665DD" w:rsidP="00427359">
            <w:pPr>
              <w:spacing w:after="0" w:line="240" w:lineRule="auto"/>
              <w:ind w:right="118"/>
              <w:rPr>
                <w:sz w:val="24"/>
                <w:szCs w:val="24"/>
              </w:rPr>
            </w:pPr>
            <w:r w:rsidRPr="00724FAF">
              <w:rPr>
                <w:rFonts w:cs="Calibri"/>
                <w:color w:val="000000"/>
                <w:sz w:val="24"/>
                <w:szCs w:val="24"/>
              </w:rPr>
              <w:t>Demonstrable ability in collating, analysing and presenting data to produce intelligence that informs decision making, planning, implementation, performance monitoring and evaluation.</w:t>
            </w:r>
          </w:p>
        </w:tc>
      </w:tr>
      <w:tr w:rsidR="004665DD" w:rsidRPr="00C865FB" w14:paraId="479FAB11" w14:textId="77777777" w:rsidTr="00427359">
        <w:tc>
          <w:tcPr>
            <w:tcW w:w="456" w:type="dxa"/>
          </w:tcPr>
          <w:p w14:paraId="7898490F" w14:textId="77777777" w:rsidR="004665DD" w:rsidRPr="00C865FB" w:rsidRDefault="004665DD" w:rsidP="00427359">
            <w:pPr>
              <w:spacing w:after="0" w:line="240" w:lineRule="auto"/>
              <w:ind w:right="118"/>
              <w:rPr>
                <w:b/>
                <w:bCs/>
                <w:sz w:val="24"/>
                <w:szCs w:val="24"/>
              </w:rPr>
            </w:pPr>
            <w:r w:rsidRPr="00C865FB">
              <w:rPr>
                <w:b/>
                <w:bCs/>
                <w:sz w:val="24"/>
                <w:szCs w:val="24"/>
              </w:rPr>
              <w:t>4</w:t>
            </w:r>
          </w:p>
        </w:tc>
        <w:tc>
          <w:tcPr>
            <w:tcW w:w="9072" w:type="dxa"/>
          </w:tcPr>
          <w:p w14:paraId="0537C57B" w14:textId="264F93CF" w:rsidR="004665DD" w:rsidRPr="00724FAF" w:rsidRDefault="004665DD" w:rsidP="00427359">
            <w:pPr>
              <w:spacing w:after="0" w:line="240" w:lineRule="auto"/>
              <w:ind w:right="118"/>
              <w:rPr>
                <w:sz w:val="24"/>
                <w:szCs w:val="24"/>
              </w:rPr>
            </w:pPr>
            <w:r w:rsidRPr="00724FAF">
              <w:rPr>
                <w:color w:val="000000"/>
                <w:sz w:val="24"/>
                <w:szCs w:val="24"/>
              </w:rPr>
              <w:t xml:space="preserve">Skills to </w:t>
            </w:r>
            <w:r w:rsidR="007A2DFA" w:rsidRPr="00724FAF">
              <w:rPr>
                <w:color w:val="000000"/>
                <w:sz w:val="24"/>
                <w:szCs w:val="24"/>
              </w:rPr>
              <w:t xml:space="preserve">lead effective partnerships, and to </w:t>
            </w:r>
            <w:r w:rsidRPr="00724FAF">
              <w:rPr>
                <w:color w:val="000000"/>
                <w:sz w:val="24"/>
                <w:szCs w:val="24"/>
              </w:rPr>
              <w:t xml:space="preserve">influence and co-ordinate within and between organisations, agencies and communities to increase their engagement with the public </w:t>
            </w:r>
            <w:r w:rsidR="00ED6459" w:rsidRPr="00724FAF">
              <w:rPr>
                <w:color w:val="000000"/>
                <w:sz w:val="24"/>
                <w:szCs w:val="24"/>
              </w:rPr>
              <w:t xml:space="preserve">health </w:t>
            </w:r>
            <w:r w:rsidR="007A2DFA" w:rsidRPr="00724FAF">
              <w:rPr>
                <w:color w:val="000000"/>
                <w:sz w:val="24"/>
                <w:szCs w:val="24"/>
              </w:rPr>
              <w:t xml:space="preserve">and improve health and wellbeing. </w:t>
            </w:r>
            <w:r w:rsidR="00ED6459" w:rsidRPr="00724FAF">
              <w:rPr>
                <w:color w:val="000000"/>
                <w:sz w:val="24"/>
                <w:szCs w:val="24"/>
              </w:rPr>
              <w:t xml:space="preserve"> </w:t>
            </w:r>
            <w:r w:rsidRPr="00724FAF">
              <w:rPr>
                <w:color w:val="000000"/>
                <w:sz w:val="24"/>
                <w:szCs w:val="24"/>
              </w:rPr>
              <w:t xml:space="preserve"> </w:t>
            </w:r>
          </w:p>
        </w:tc>
      </w:tr>
      <w:tr w:rsidR="004665DD" w:rsidRPr="00C865FB" w14:paraId="32DCED81" w14:textId="77777777" w:rsidTr="00427359">
        <w:tc>
          <w:tcPr>
            <w:tcW w:w="456" w:type="dxa"/>
          </w:tcPr>
          <w:p w14:paraId="53728B88" w14:textId="77777777" w:rsidR="004665DD" w:rsidRPr="00C865FB" w:rsidRDefault="004665DD" w:rsidP="00427359">
            <w:pPr>
              <w:spacing w:after="0" w:line="240" w:lineRule="auto"/>
              <w:ind w:right="118"/>
              <w:rPr>
                <w:b/>
                <w:bCs/>
                <w:sz w:val="24"/>
                <w:szCs w:val="24"/>
              </w:rPr>
            </w:pPr>
            <w:r w:rsidRPr="00C865FB">
              <w:rPr>
                <w:b/>
                <w:bCs/>
                <w:sz w:val="24"/>
                <w:szCs w:val="24"/>
              </w:rPr>
              <w:t>5</w:t>
            </w:r>
          </w:p>
        </w:tc>
        <w:tc>
          <w:tcPr>
            <w:tcW w:w="9072" w:type="dxa"/>
          </w:tcPr>
          <w:p w14:paraId="6C5FD0DF" w14:textId="17D27CA3" w:rsidR="004665DD" w:rsidRPr="00724FAF" w:rsidRDefault="004665DD" w:rsidP="00427359">
            <w:pPr>
              <w:spacing w:after="0" w:line="240" w:lineRule="auto"/>
              <w:ind w:right="118"/>
              <w:rPr>
                <w:sz w:val="24"/>
                <w:szCs w:val="24"/>
              </w:rPr>
            </w:pPr>
            <w:r w:rsidRPr="00724FAF">
              <w:rPr>
                <w:rFonts w:cs="Calibri"/>
                <w:color w:val="000000"/>
                <w:sz w:val="24"/>
                <w:szCs w:val="24"/>
              </w:rPr>
              <w:t xml:space="preserve">Strong project and programme management skills with the ability to </w:t>
            </w:r>
            <w:r w:rsidR="009B0C4A" w:rsidRPr="00724FAF">
              <w:rPr>
                <w:rFonts w:cs="Calibri"/>
                <w:color w:val="000000"/>
                <w:sz w:val="24"/>
                <w:szCs w:val="24"/>
              </w:rPr>
              <w:t xml:space="preserve">work </w:t>
            </w:r>
            <w:r w:rsidR="003C4E6A" w:rsidRPr="00724FAF">
              <w:rPr>
                <w:rFonts w:cs="Calibri"/>
                <w:color w:val="000000"/>
                <w:sz w:val="24"/>
                <w:szCs w:val="24"/>
              </w:rPr>
              <w:t xml:space="preserve">simultaneously </w:t>
            </w:r>
            <w:r w:rsidR="009B0C4A" w:rsidRPr="00724FAF">
              <w:rPr>
                <w:rFonts w:cs="Calibri"/>
                <w:color w:val="000000"/>
                <w:sz w:val="24"/>
                <w:szCs w:val="24"/>
              </w:rPr>
              <w:t xml:space="preserve">on </w:t>
            </w:r>
            <w:proofErr w:type="gramStart"/>
            <w:r w:rsidR="009B0C4A" w:rsidRPr="00724FAF">
              <w:rPr>
                <w:rFonts w:cs="Calibri"/>
                <w:color w:val="000000"/>
                <w:sz w:val="24"/>
                <w:szCs w:val="24"/>
              </w:rPr>
              <w:t>a number of</w:t>
            </w:r>
            <w:proofErr w:type="gramEnd"/>
            <w:r w:rsidR="009B0C4A" w:rsidRPr="00724FAF">
              <w:rPr>
                <w:rFonts w:cs="Calibri"/>
                <w:color w:val="000000"/>
                <w:sz w:val="24"/>
                <w:szCs w:val="24"/>
              </w:rPr>
              <w:t xml:space="preserve"> </w:t>
            </w:r>
            <w:r w:rsidR="003C2DC6" w:rsidRPr="00724FAF">
              <w:rPr>
                <w:rFonts w:cs="Calibri"/>
                <w:color w:val="000000"/>
                <w:sz w:val="24"/>
                <w:szCs w:val="24"/>
              </w:rPr>
              <w:t xml:space="preserve">projects with competing demands, </w:t>
            </w:r>
            <w:r w:rsidRPr="00724FAF">
              <w:rPr>
                <w:rFonts w:cs="Calibri"/>
                <w:color w:val="000000"/>
                <w:sz w:val="24"/>
                <w:szCs w:val="24"/>
              </w:rPr>
              <w:t>deliver projects on time, and regularly review quality, risks, and opportunities to maximise outcomes.</w:t>
            </w:r>
          </w:p>
        </w:tc>
      </w:tr>
      <w:tr w:rsidR="004665DD" w:rsidRPr="00C865FB" w14:paraId="3F88C692" w14:textId="77777777" w:rsidTr="00427359">
        <w:tc>
          <w:tcPr>
            <w:tcW w:w="456" w:type="dxa"/>
          </w:tcPr>
          <w:p w14:paraId="60903651" w14:textId="77777777" w:rsidR="004665DD" w:rsidRPr="00C865FB" w:rsidRDefault="004665DD" w:rsidP="00427359">
            <w:pPr>
              <w:spacing w:after="0" w:line="240" w:lineRule="auto"/>
              <w:ind w:right="118"/>
              <w:rPr>
                <w:b/>
                <w:bCs/>
                <w:sz w:val="24"/>
                <w:szCs w:val="24"/>
              </w:rPr>
            </w:pPr>
            <w:r w:rsidRPr="00C865FB">
              <w:rPr>
                <w:b/>
                <w:bCs/>
                <w:sz w:val="24"/>
                <w:szCs w:val="24"/>
              </w:rPr>
              <w:t>6</w:t>
            </w:r>
          </w:p>
        </w:tc>
        <w:tc>
          <w:tcPr>
            <w:tcW w:w="9072" w:type="dxa"/>
          </w:tcPr>
          <w:p w14:paraId="1780B412" w14:textId="55E63328" w:rsidR="004665DD" w:rsidRPr="00724FAF" w:rsidRDefault="00F30881" w:rsidP="00427359">
            <w:pPr>
              <w:spacing w:after="0" w:line="240" w:lineRule="auto"/>
              <w:ind w:right="118"/>
              <w:rPr>
                <w:sz w:val="24"/>
                <w:szCs w:val="24"/>
              </w:rPr>
            </w:pPr>
            <w:r w:rsidRPr="00724FAF">
              <w:rPr>
                <w:rFonts w:cs="Calibri"/>
                <w:sz w:val="24"/>
                <w:szCs w:val="24"/>
              </w:rPr>
              <w:t>Experience of line management and staff development; a</w:t>
            </w:r>
            <w:r w:rsidR="004665DD" w:rsidRPr="00724FAF">
              <w:rPr>
                <w:rFonts w:cs="Calibri"/>
                <w:sz w:val="24"/>
                <w:szCs w:val="24"/>
              </w:rPr>
              <w:t>bility to work effectively within the matrix management arrangements of the shared public health service, manage uncertainty, and solve problems in unpredictable environments.</w:t>
            </w:r>
          </w:p>
        </w:tc>
      </w:tr>
    </w:tbl>
    <w:p w14:paraId="7D369312" w14:textId="77777777" w:rsidR="004665DD" w:rsidRDefault="004665DD" w:rsidP="004665DD">
      <w:pPr>
        <w:spacing w:after="0" w:line="240" w:lineRule="auto"/>
        <w:ind w:left="567" w:right="118"/>
        <w:rPr>
          <w:noProof/>
          <w:sz w:val="24"/>
          <w:szCs w:val="24"/>
        </w:rPr>
      </w:pPr>
    </w:p>
    <w:p w14:paraId="31B5170C" w14:textId="77777777" w:rsidR="004665DD" w:rsidRPr="000438CD" w:rsidRDefault="004665DD" w:rsidP="004665DD">
      <w:pPr>
        <w:spacing w:after="0" w:line="240" w:lineRule="auto"/>
        <w:ind w:left="567" w:right="118"/>
        <w:rPr>
          <w:noProof/>
          <w:sz w:val="24"/>
          <w:szCs w:val="24"/>
        </w:rPr>
      </w:pPr>
      <w:r>
        <w:rPr>
          <w:b/>
          <w:bCs/>
          <w:noProof/>
          <w:sz w:val="32"/>
          <w:szCs w:val="32"/>
        </w:rPr>
        <w:br w:type="page"/>
      </w:r>
    </w:p>
    <w:p w14:paraId="0B41E46E" w14:textId="77777777" w:rsidR="004665DD" w:rsidRPr="001F5934" w:rsidRDefault="004665DD" w:rsidP="004665DD">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Job family</w:t>
      </w:r>
    </w:p>
    <w:p w14:paraId="79E504DB" w14:textId="77777777" w:rsidR="004665DD" w:rsidRPr="00F6045D" w:rsidRDefault="004665DD" w:rsidP="004665DD">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 (Grade I)</w:t>
      </w:r>
    </w:p>
    <w:p w14:paraId="61F84EE7" w14:textId="77777777" w:rsidR="004665DD" w:rsidRPr="00D3494A" w:rsidRDefault="004665DD" w:rsidP="004665DD">
      <w:pPr>
        <w:ind w:left="567" w:right="118"/>
        <w:rPr>
          <w:rFonts w:ascii="Amasis MT Pro Black" w:hAnsi="Amasis MT Pro Black"/>
          <w:color w:val="009999"/>
          <w:sz w:val="24"/>
          <w:szCs w:val="24"/>
        </w:rPr>
      </w:pPr>
    </w:p>
    <w:tbl>
      <w:tblPr>
        <w:tblW w:w="9639" w:type="dxa"/>
        <w:tblInd w:w="567" w:type="dxa"/>
        <w:tblCellMar>
          <w:left w:w="0" w:type="dxa"/>
        </w:tblCellMar>
        <w:tblLook w:val="04A0" w:firstRow="1" w:lastRow="0" w:firstColumn="1" w:lastColumn="0" w:noHBand="0" w:noVBand="1"/>
      </w:tblPr>
      <w:tblGrid>
        <w:gridCol w:w="4820"/>
        <w:gridCol w:w="4819"/>
      </w:tblGrid>
      <w:tr w:rsidR="004665DD" w:rsidRPr="00C865FB" w14:paraId="1C94C0C1" w14:textId="77777777" w:rsidTr="00427359">
        <w:trPr>
          <w:trHeight w:val="3518"/>
        </w:trPr>
        <w:tc>
          <w:tcPr>
            <w:tcW w:w="4820" w:type="dxa"/>
          </w:tcPr>
          <w:p w14:paraId="0DF7CBD0" w14:textId="77777777" w:rsidR="004665DD" w:rsidRPr="00C865FB" w:rsidRDefault="004665DD" w:rsidP="00427359">
            <w:pPr>
              <w:pStyle w:val="NormalWeb"/>
              <w:spacing w:before="0" w:beforeAutospacing="0" w:after="0" w:afterAutospacing="0"/>
              <w:ind w:right="113"/>
              <w:rPr>
                <w:rFonts w:ascii="Amasis MT Pro Black" w:hAnsi="Amasis MT Pro Black" w:cs="Calibri"/>
                <w:b/>
                <w:bCs/>
                <w:color w:val="000000"/>
                <w:sz w:val="32"/>
                <w:szCs w:val="32"/>
              </w:rPr>
            </w:pPr>
            <w:r w:rsidRPr="00C865FB">
              <w:rPr>
                <w:rFonts w:ascii="Amasis MT Pro Black" w:hAnsi="Amasis MT Pro Black" w:cs="Calibri"/>
                <w:b/>
                <w:bCs/>
                <w:color w:val="000000"/>
                <w:sz w:val="32"/>
                <w:szCs w:val="32"/>
              </w:rPr>
              <w:t>Colleague expectations</w:t>
            </w:r>
          </w:p>
          <w:p w14:paraId="7652A082" w14:textId="77777777" w:rsidR="004665DD" w:rsidRPr="00C865FB" w:rsidRDefault="004665DD" w:rsidP="00427359">
            <w:pPr>
              <w:pStyle w:val="NormalWeb"/>
              <w:spacing w:before="0" w:beforeAutospacing="0" w:after="0" w:afterAutospacing="0"/>
              <w:ind w:right="118"/>
              <w:rPr>
                <w:rFonts w:ascii="Calibri" w:hAnsi="Calibri" w:cs="Calibri"/>
                <w:color w:val="000000"/>
              </w:rPr>
            </w:pPr>
          </w:p>
          <w:p w14:paraId="5AE49309" w14:textId="77777777" w:rsidR="004665DD" w:rsidRPr="00C865FB" w:rsidRDefault="004665DD" w:rsidP="004665DD">
            <w:pPr>
              <w:pStyle w:val="NormalWeb"/>
              <w:numPr>
                <w:ilvl w:val="0"/>
                <w:numId w:val="2"/>
              </w:numPr>
              <w:spacing w:before="0" w:beforeAutospacing="0" w:after="0" w:afterAutospacing="0"/>
              <w:ind w:left="360" w:right="118"/>
              <w:rPr>
                <w:rFonts w:ascii="Calibri" w:hAnsi="Calibri" w:cs="Calibri"/>
                <w:color w:val="000000"/>
              </w:rPr>
            </w:pPr>
            <w:proofErr w:type="gramStart"/>
            <w:r w:rsidRPr="00C865FB">
              <w:rPr>
                <w:rFonts w:ascii="Calibri" w:hAnsi="Calibri" w:cs="Calibri"/>
                <w:color w:val="000000"/>
              </w:rPr>
              <w:t>Be professional at all times</w:t>
            </w:r>
            <w:proofErr w:type="gramEnd"/>
          </w:p>
          <w:p w14:paraId="0DE9AB32" w14:textId="77777777" w:rsidR="004665DD" w:rsidRPr="00C865FB" w:rsidRDefault="004665DD" w:rsidP="004665DD">
            <w:pPr>
              <w:pStyle w:val="NormalWeb"/>
              <w:numPr>
                <w:ilvl w:val="0"/>
                <w:numId w:val="2"/>
              </w:numPr>
              <w:spacing w:before="0" w:beforeAutospacing="0" w:after="0" w:afterAutospacing="0"/>
              <w:ind w:left="360" w:right="118"/>
              <w:rPr>
                <w:rFonts w:ascii="Calibri" w:hAnsi="Calibri" w:cs="Calibri"/>
                <w:color w:val="000000"/>
              </w:rPr>
            </w:pPr>
            <w:r w:rsidRPr="00C865FB">
              <w:rPr>
                <w:rFonts w:ascii="Calibri" w:hAnsi="Calibri" w:cs="Calibri"/>
                <w:color w:val="000000"/>
              </w:rPr>
              <w:t>Work together for the good of the team, city council and local people</w:t>
            </w:r>
          </w:p>
          <w:p w14:paraId="5859585B" w14:textId="77777777" w:rsidR="004665DD" w:rsidRPr="00C865FB" w:rsidRDefault="004665DD" w:rsidP="004665DD">
            <w:pPr>
              <w:pStyle w:val="NormalWeb"/>
              <w:numPr>
                <w:ilvl w:val="0"/>
                <w:numId w:val="2"/>
              </w:numPr>
              <w:spacing w:before="0" w:beforeAutospacing="0" w:after="0" w:afterAutospacing="0"/>
              <w:ind w:left="360" w:right="118"/>
              <w:rPr>
                <w:rFonts w:ascii="Calibri" w:hAnsi="Calibri" w:cs="Calibri"/>
                <w:color w:val="000000"/>
              </w:rPr>
            </w:pPr>
            <w:r w:rsidRPr="00C865FB">
              <w:rPr>
                <w:rFonts w:ascii="Calibri" w:hAnsi="Calibri" w:cs="Calibri"/>
                <w:color w:val="000000"/>
              </w:rPr>
              <w:t>Promote a supportive culture</w:t>
            </w:r>
          </w:p>
          <w:p w14:paraId="769F87ED" w14:textId="77777777" w:rsidR="004665DD" w:rsidRPr="00C865FB" w:rsidRDefault="004665DD" w:rsidP="004665DD">
            <w:pPr>
              <w:pStyle w:val="NormalWeb"/>
              <w:numPr>
                <w:ilvl w:val="0"/>
                <w:numId w:val="2"/>
              </w:numPr>
              <w:spacing w:before="0" w:beforeAutospacing="0" w:after="0" w:afterAutospacing="0"/>
              <w:ind w:left="360" w:right="118"/>
              <w:rPr>
                <w:rFonts w:ascii="Calibri" w:hAnsi="Calibri" w:cs="Calibri"/>
                <w:color w:val="000000"/>
              </w:rPr>
            </w:pPr>
            <w:r w:rsidRPr="00C865FB">
              <w:rPr>
                <w:rFonts w:ascii="Calibri" w:hAnsi="Calibri" w:cs="Calibri"/>
                <w:color w:val="000000"/>
              </w:rPr>
              <w:t>Challenge assumptions</w:t>
            </w:r>
          </w:p>
          <w:p w14:paraId="612E8C60" w14:textId="77777777" w:rsidR="004665DD" w:rsidRPr="00C865FB" w:rsidRDefault="004665DD" w:rsidP="004665DD">
            <w:pPr>
              <w:pStyle w:val="NormalWeb"/>
              <w:numPr>
                <w:ilvl w:val="0"/>
                <w:numId w:val="2"/>
              </w:numPr>
              <w:spacing w:before="0" w:beforeAutospacing="0" w:after="0" w:afterAutospacing="0"/>
              <w:ind w:left="360" w:right="118"/>
              <w:rPr>
                <w:rFonts w:ascii="Calibri" w:hAnsi="Calibri" w:cs="Calibri"/>
                <w:color w:val="000000"/>
              </w:rPr>
            </w:pPr>
            <w:r w:rsidRPr="00C865FB">
              <w:rPr>
                <w:rFonts w:ascii="Calibri" w:hAnsi="Calibri" w:cs="Calibri"/>
                <w:color w:val="000000"/>
              </w:rPr>
              <w:t>Take ownership</w:t>
            </w:r>
          </w:p>
          <w:p w14:paraId="51CC33B0" w14:textId="77777777" w:rsidR="004665DD" w:rsidRPr="00C865FB" w:rsidRDefault="004665DD" w:rsidP="004665DD">
            <w:pPr>
              <w:pStyle w:val="NormalWeb"/>
              <w:numPr>
                <w:ilvl w:val="0"/>
                <w:numId w:val="2"/>
              </w:numPr>
              <w:spacing w:before="0" w:beforeAutospacing="0" w:after="0" w:afterAutospacing="0"/>
              <w:ind w:left="360" w:right="118"/>
              <w:rPr>
                <w:rFonts w:ascii="Calibri" w:hAnsi="Calibri" w:cs="Calibri"/>
                <w:color w:val="000000"/>
              </w:rPr>
            </w:pPr>
            <w:r w:rsidRPr="00C865FB">
              <w:rPr>
                <w:rFonts w:ascii="Calibri" w:hAnsi="Calibri" w:cs="Calibri"/>
                <w:color w:val="000000"/>
              </w:rPr>
              <w:t>Be willing to change and do things differently</w:t>
            </w:r>
          </w:p>
          <w:p w14:paraId="21E7C799" w14:textId="77777777" w:rsidR="004665DD" w:rsidRPr="00C865FB" w:rsidRDefault="004665DD" w:rsidP="004665DD">
            <w:pPr>
              <w:pStyle w:val="NormalWeb"/>
              <w:numPr>
                <w:ilvl w:val="0"/>
                <w:numId w:val="2"/>
              </w:numPr>
              <w:spacing w:before="0" w:beforeAutospacing="0" w:after="0" w:afterAutospacing="0"/>
              <w:ind w:left="360" w:right="118"/>
              <w:rPr>
                <w:rFonts w:ascii="Calibri" w:hAnsi="Calibri" w:cs="Calibri"/>
                <w:b/>
                <w:bCs/>
                <w:color w:val="000000"/>
              </w:rPr>
            </w:pPr>
            <w:r w:rsidRPr="00C865FB">
              <w:rPr>
                <w:rFonts w:ascii="Calibri" w:hAnsi="Calibri" w:cs="Calibri"/>
                <w:color w:val="000000"/>
              </w:rPr>
              <w:t>Always work in a safe manner</w:t>
            </w:r>
          </w:p>
        </w:tc>
        <w:tc>
          <w:tcPr>
            <w:tcW w:w="4819" w:type="dxa"/>
          </w:tcPr>
          <w:p w14:paraId="53E0F832" w14:textId="77777777" w:rsidR="004665DD" w:rsidRPr="00C865FB" w:rsidRDefault="004665DD" w:rsidP="00427359">
            <w:pPr>
              <w:pStyle w:val="NormalWeb"/>
              <w:spacing w:before="0" w:beforeAutospacing="0" w:after="0" w:afterAutospacing="0"/>
              <w:ind w:right="119"/>
              <w:rPr>
                <w:rFonts w:ascii="Amasis MT Pro Black" w:hAnsi="Amasis MT Pro Black" w:cs="Calibri"/>
                <w:b/>
                <w:bCs/>
                <w:color w:val="000000"/>
                <w:sz w:val="32"/>
                <w:szCs w:val="32"/>
              </w:rPr>
            </w:pPr>
            <w:r w:rsidRPr="00C865FB">
              <w:rPr>
                <w:rFonts w:ascii="Amasis MT Pro Black" w:hAnsi="Amasis MT Pro Black" w:cs="Calibri"/>
                <w:b/>
                <w:bCs/>
                <w:color w:val="000000"/>
                <w:sz w:val="32"/>
                <w:szCs w:val="32"/>
              </w:rPr>
              <w:t>Manager expectations</w:t>
            </w:r>
          </w:p>
          <w:p w14:paraId="789E782B" w14:textId="77777777" w:rsidR="004665DD" w:rsidRPr="00C865FB" w:rsidRDefault="004665DD" w:rsidP="00427359">
            <w:pPr>
              <w:pStyle w:val="NormalWeb"/>
              <w:spacing w:before="0" w:beforeAutospacing="0" w:after="0" w:afterAutospacing="0"/>
              <w:ind w:left="567" w:right="118"/>
              <w:rPr>
                <w:rFonts w:ascii="Calibri" w:hAnsi="Calibri" w:cs="Calibri"/>
                <w:b/>
                <w:bCs/>
                <w:color w:val="000000"/>
              </w:rPr>
            </w:pPr>
          </w:p>
          <w:p w14:paraId="7274F9F0" w14:textId="77777777" w:rsidR="004665DD" w:rsidRPr="00C865FB" w:rsidRDefault="004665DD" w:rsidP="004665DD">
            <w:pPr>
              <w:pStyle w:val="ListParagraph"/>
              <w:numPr>
                <w:ilvl w:val="0"/>
                <w:numId w:val="1"/>
              </w:numPr>
              <w:spacing w:after="0" w:line="240" w:lineRule="auto"/>
              <w:ind w:right="118"/>
              <w:rPr>
                <w:rFonts w:cs="Calibri"/>
                <w:sz w:val="24"/>
                <w:szCs w:val="24"/>
              </w:rPr>
            </w:pPr>
            <w:r w:rsidRPr="00C865FB">
              <w:rPr>
                <w:rFonts w:cs="Calibri"/>
                <w:sz w:val="24"/>
                <w:szCs w:val="24"/>
              </w:rPr>
              <w:t xml:space="preserve">Be a role model by </w:t>
            </w:r>
            <w:proofErr w:type="gramStart"/>
            <w:r w:rsidRPr="00C865FB">
              <w:rPr>
                <w:rFonts w:cs="Calibri"/>
                <w:sz w:val="24"/>
                <w:szCs w:val="24"/>
              </w:rPr>
              <w:t>displaying positive behaviours at all times</w:t>
            </w:r>
            <w:proofErr w:type="gramEnd"/>
          </w:p>
          <w:p w14:paraId="0CA550D2" w14:textId="77777777" w:rsidR="004665DD" w:rsidRPr="00C865FB" w:rsidRDefault="004665DD" w:rsidP="004665DD">
            <w:pPr>
              <w:pStyle w:val="ListParagraph"/>
              <w:numPr>
                <w:ilvl w:val="0"/>
                <w:numId w:val="1"/>
              </w:numPr>
              <w:spacing w:after="0" w:line="240" w:lineRule="auto"/>
              <w:ind w:right="118"/>
              <w:rPr>
                <w:rFonts w:cs="Calibri"/>
                <w:sz w:val="24"/>
                <w:szCs w:val="24"/>
              </w:rPr>
            </w:pPr>
            <w:r w:rsidRPr="00C865FB">
              <w:rPr>
                <w:rFonts w:cs="Calibri"/>
                <w:sz w:val="24"/>
                <w:szCs w:val="24"/>
              </w:rPr>
              <w:t xml:space="preserve">Make well-considered decisions </w:t>
            </w:r>
          </w:p>
          <w:p w14:paraId="3D1A39AB" w14:textId="77777777" w:rsidR="004665DD" w:rsidRPr="00C865FB" w:rsidRDefault="004665DD" w:rsidP="004665DD">
            <w:pPr>
              <w:pStyle w:val="ListParagraph"/>
              <w:numPr>
                <w:ilvl w:val="0"/>
                <w:numId w:val="1"/>
              </w:numPr>
              <w:spacing w:after="0" w:line="240" w:lineRule="auto"/>
              <w:ind w:right="118"/>
              <w:rPr>
                <w:rFonts w:cs="Calibri"/>
                <w:sz w:val="24"/>
                <w:szCs w:val="24"/>
              </w:rPr>
            </w:pPr>
            <w:r w:rsidRPr="00C865FB">
              <w:rPr>
                <w:rFonts w:cs="Calibri"/>
                <w:sz w:val="24"/>
                <w:szCs w:val="24"/>
              </w:rPr>
              <w:t>Support, coach and communicate with my team</w:t>
            </w:r>
          </w:p>
          <w:p w14:paraId="3223237F" w14:textId="77777777" w:rsidR="004665DD" w:rsidRPr="00C865FB" w:rsidRDefault="004665DD" w:rsidP="004665DD">
            <w:pPr>
              <w:pStyle w:val="ListParagraph"/>
              <w:numPr>
                <w:ilvl w:val="0"/>
                <w:numId w:val="1"/>
              </w:numPr>
              <w:spacing w:after="0" w:line="240" w:lineRule="auto"/>
              <w:ind w:right="118"/>
              <w:rPr>
                <w:rFonts w:cs="Calibri"/>
                <w:sz w:val="24"/>
                <w:szCs w:val="24"/>
              </w:rPr>
            </w:pPr>
            <w:r w:rsidRPr="00C865FB">
              <w:rPr>
                <w:rFonts w:cs="Calibri"/>
                <w:sz w:val="24"/>
                <w:szCs w:val="24"/>
              </w:rPr>
              <w:t>Be accountable for my team’s performance</w:t>
            </w:r>
          </w:p>
          <w:p w14:paraId="091598D4" w14:textId="77777777" w:rsidR="004665DD" w:rsidRPr="00C865FB" w:rsidRDefault="004665DD" w:rsidP="00427359">
            <w:pPr>
              <w:pStyle w:val="NormalWeb"/>
              <w:spacing w:before="0" w:beforeAutospacing="0" w:after="0" w:afterAutospacing="0"/>
              <w:ind w:left="567" w:right="118"/>
              <w:rPr>
                <w:rFonts w:ascii="Calibri" w:hAnsi="Calibri" w:cs="Calibri"/>
                <w:b/>
                <w:bCs/>
                <w:color w:val="000000"/>
              </w:rPr>
            </w:pPr>
          </w:p>
        </w:tc>
      </w:tr>
    </w:tbl>
    <w:p w14:paraId="11B36762" w14:textId="77777777" w:rsidR="004665DD" w:rsidRPr="00C865FB" w:rsidRDefault="004665DD" w:rsidP="004665DD">
      <w:pPr>
        <w:spacing w:after="0" w:line="240" w:lineRule="auto"/>
        <w:ind w:right="260"/>
        <w:rPr>
          <w:rFonts w:cs="Calibri"/>
          <w:b/>
          <w:bCs/>
          <w:color w:val="000000"/>
          <w:sz w:val="24"/>
          <w:szCs w:val="24"/>
        </w:rPr>
      </w:pPr>
    </w:p>
    <w:p w14:paraId="2A91E814" w14:textId="77777777" w:rsidR="004665DD" w:rsidRPr="00320744" w:rsidRDefault="004665DD" w:rsidP="004665DD">
      <w:pPr>
        <w:spacing w:after="0" w:line="240" w:lineRule="auto"/>
        <w:ind w:left="567" w:right="260"/>
        <w:rPr>
          <w:noProof/>
          <w:sz w:val="24"/>
          <w:szCs w:val="24"/>
        </w:rPr>
      </w:pPr>
      <w:r w:rsidRPr="00320744">
        <w:rPr>
          <w:noProof/>
          <w:sz w:val="24"/>
          <w:szCs w:val="24"/>
        </w:rPr>
        <w:t>Professional</w:t>
      </w:r>
      <w:r>
        <w:rPr>
          <w:noProof/>
          <w:sz w:val="24"/>
          <w:szCs w:val="24"/>
        </w:rPr>
        <w:t xml:space="preserve"> and </w:t>
      </w:r>
      <w:r w:rsidRPr="0032074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20744">
        <w:rPr>
          <w:noProof/>
          <w:sz w:val="24"/>
          <w:szCs w:val="24"/>
        </w:rPr>
        <w:t>ouncil assets, the development of policies and procedures and the strategic direction of the functions they support.</w:t>
      </w:r>
    </w:p>
    <w:p w14:paraId="3A811A10" w14:textId="77777777" w:rsidR="004665DD" w:rsidRPr="00320744" w:rsidRDefault="004665DD" w:rsidP="004665DD">
      <w:pPr>
        <w:spacing w:after="0" w:line="240" w:lineRule="auto"/>
        <w:ind w:left="567" w:right="260"/>
        <w:rPr>
          <w:noProof/>
          <w:sz w:val="24"/>
          <w:szCs w:val="24"/>
        </w:rPr>
      </w:pPr>
    </w:p>
    <w:p w14:paraId="05D1A6A4" w14:textId="77777777" w:rsidR="004665DD" w:rsidRPr="00320744" w:rsidRDefault="004665DD" w:rsidP="004665DD">
      <w:pPr>
        <w:spacing w:after="0" w:line="240" w:lineRule="auto"/>
        <w:ind w:left="567" w:right="260"/>
        <w:rPr>
          <w:noProof/>
          <w:sz w:val="24"/>
          <w:szCs w:val="24"/>
        </w:rPr>
      </w:pPr>
      <w:r w:rsidRPr="00320744">
        <w:rPr>
          <w:noProof/>
          <w:sz w:val="24"/>
          <w:szCs w:val="24"/>
        </w:rPr>
        <w:t>This element of the profile, taken from the job family descriptor for this grade, provides a general understanding of the level of work and demands required.</w:t>
      </w:r>
    </w:p>
    <w:p w14:paraId="56F2985A" w14:textId="77777777" w:rsidR="004665DD" w:rsidRPr="00320744" w:rsidRDefault="004665DD" w:rsidP="004665DD">
      <w:pPr>
        <w:spacing w:after="0" w:line="240" w:lineRule="auto"/>
        <w:ind w:left="567" w:right="260"/>
        <w:rPr>
          <w:b/>
          <w:bCs/>
          <w:noProof/>
          <w:sz w:val="24"/>
          <w:szCs w:val="24"/>
        </w:rPr>
      </w:pPr>
    </w:p>
    <w:p w14:paraId="33CB8612" w14:textId="77777777" w:rsidR="004665DD" w:rsidRPr="00320744" w:rsidRDefault="004665DD" w:rsidP="004665DD">
      <w:pPr>
        <w:spacing w:after="0" w:line="240" w:lineRule="auto"/>
        <w:ind w:left="567" w:right="260"/>
        <w:rPr>
          <w:b/>
          <w:bCs/>
          <w:noProof/>
          <w:sz w:val="24"/>
          <w:szCs w:val="24"/>
        </w:rPr>
      </w:pPr>
      <w:r w:rsidRPr="00320744">
        <w:rPr>
          <w:b/>
          <w:bCs/>
          <w:noProof/>
          <w:sz w:val="24"/>
          <w:szCs w:val="24"/>
        </w:rPr>
        <w:t>Role characteristics</w:t>
      </w:r>
    </w:p>
    <w:p w14:paraId="21E31E0F" w14:textId="77777777" w:rsidR="004665DD" w:rsidRPr="00320744" w:rsidRDefault="004665DD" w:rsidP="004665DD">
      <w:pPr>
        <w:spacing w:after="0" w:line="240" w:lineRule="auto"/>
        <w:ind w:left="567" w:right="260"/>
        <w:rPr>
          <w:noProof/>
          <w:sz w:val="24"/>
          <w:szCs w:val="24"/>
        </w:rPr>
      </w:pPr>
    </w:p>
    <w:p w14:paraId="2104DDCC" w14:textId="77777777" w:rsidR="004665DD" w:rsidRPr="00320744" w:rsidRDefault="004665DD" w:rsidP="004665DD">
      <w:pPr>
        <w:spacing w:after="0" w:line="240" w:lineRule="auto"/>
        <w:ind w:left="567" w:right="260"/>
        <w:rPr>
          <w:noProof/>
          <w:sz w:val="24"/>
          <w:szCs w:val="24"/>
        </w:rPr>
      </w:pPr>
      <w:r w:rsidRPr="0032074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52BDA55D" w14:textId="77777777" w:rsidR="004665DD" w:rsidRPr="00320744" w:rsidRDefault="004665DD" w:rsidP="004665DD">
      <w:pPr>
        <w:spacing w:after="0" w:line="240" w:lineRule="auto"/>
        <w:ind w:left="567" w:right="260"/>
        <w:rPr>
          <w:noProof/>
          <w:sz w:val="24"/>
          <w:szCs w:val="24"/>
        </w:rPr>
      </w:pPr>
      <w:r w:rsidRPr="00320744">
        <w:rPr>
          <w:noProof/>
          <w:sz w:val="24"/>
          <w:szCs w:val="24"/>
        </w:rPr>
        <w:tab/>
      </w:r>
    </w:p>
    <w:p w14:paraId="507DBAD9" w14:textId="77777777" w:rsidR="004665DD" w:rsidRPr="00320744" w:rsidRDefault="004665DD" w:rsidP="004665DD">
      <w:pPr>
        <w:spacing w:after="0" w:line="240" w:lineRule="auto"/>
        <w:ind w:left="567" w:right="260"/>
        <w:rPr>
          <w:b/>
          <w:bCs/>
          <w:noProof/>
          <w:sz w:val="24"/>
          <w:szCs w:val="24"/>
        </w:rPr>
      </w:pPr>
      <w:r w:rsidRPr="00320744">
        <w:rPr>
          <w:b/>
          <w:bCs/>
          <w:noProof/>
          <w:sz w:val="24"/>
          <w:szCs w:val="24"/>
        </w:rPr>
        <w:t>The knowledge and skills required</w:t>
      </w:r>
    </w:p>
    <w:p w14:paraId="0275FD6A" w14:textId="77777777" w:rsidR="004665DD" w:rsidRPr="00320744" w:rsidRDefault="004665DD" w:rsidP="004665DD">
      <w:pPr>
        <w:spacing w:after="0" w:line="240" w:lineRule="auto"/>
        <w:ind w:left="567" w:right="260"/>
        <w:rPr>
          <w:noProof/>
          <w:sz w:val="24"/>
          <w:szCs w:val="24"/>
        </w:rPr>
      </w:pPr>
    </w:p>
    <w:p w14:paraId="0387722D" w14:textId="77777777" w:rsidR="004665DD" w:rsidRPr="00320744" w:rsidRDefault="004665DD" w:rsidP="004665DD">
      <w:pPr>
        <w:spacing w:after="0" w:line="240" w:lineRule="auto"/>
        <w:ind w:left="567" w:right="260"/>
        <w:rPr>
          <w:noProof/>
          <w:sz w:val="24"/>
          <w:szCs w:val="24"/>
        </w:rPr>
      </w:pPr>
      <w:r w:rsidRPr="0032074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E33D155" w14:textId="77777777" w:rsidR="004665DD" w:rsidRPr="00320744" w:rsidRDefault="004665DD" w:rsidP="004665DD">
      <w:pPr>
        <w:spacing w:after="0" w:line="240" w:lineRule="auto"/>
        <w:ind w:left="567" w:right="260"/>
        <w:rPr>
          <w:noProof/>
          <w:sz w:val="24"/>
          <w:szCs w:val="24"/>
        </w:rPr>
      </w:pPr>
    </w:p>
    <w:p w14:paraId="24F2A86D" w14:textId="77777777" w:rsidR="004665DD" w:rsidRPr="00320744" w:rsidRDefault="004665DD" w:rsidP="004665DD">
      <w:pPr>
        <w:spacing w:after="0" w:line="240" w:lineRule="auto"/>
        <w:ind w:left="567" w:right="260"/>
        <w:rPr>
          <w:noProof/>
          <w:sz w:val="24"/>
          <w:szCs w:val="24"/>
        </w:rPr>
      </w:pPr>
      <w:r w:rsidRPr="0032074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0C342036" w14:textId="77777777" w:rsidR="004665DD" w:rsidRPr="00320744" w:rsidRDefault="004665DD" w:rsidP="004665DD">
      <w:pPr>
        <w:spacing w:after="0" w:line="240" w:lineRule="auto"/>
        <w:ind w:left="567" w:right="260"/>
        <w:rPr>
          <w:noProof/>
          <w:sz w:val="24"/>
          <w:szCs w:val="24"/>
        </w:rPr>
      </w:pPr>
    </w:p>
    <w:p w14:paraId="46C47D73" w14:textId="77777777" w:rsidR="004665DD" w:rsidRPr="00320744" w:rsidRDefault="004665DD" w:rsidP="004665DD">
      <w:pPr>
        <w:spacing w:after="0" w:line="240" w:lineRule="auto"/>
        <w:ind w:left="567" w:right="260"/>
        <w:rPr>
          <w:noProof/>
          <w:sz w:val="24"/>
          <w:szCs w:val="24"/>
        </w:rPr>
      </w:pPr>
      <w:r w:rsidRPr="0032074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7B0D89B4" w14:textId="77777777" w:rsidR="004665DD" w:rsidRPr="00320744" w:rsidRDefault="004665DD" w:rsidP="004665DD">
      <w:pPr>
        <w:spacing w:after="0" w:line="240" w:lineRule="auto"/>
        <w:ind w:left="567" w:right="260"/>
        <w:rPr>
          <w:noProof/>
          <w:sz w:val="24"/>
          <w:szCs w:val="24"/>
        </w:rPr>
      </w:pPr>
    </w:p>
    <w:p w14:paraId="5168B1EE" w14:textId="77777777" w:rsidR="004665DD" w:rsidRPr="00320744" w:rsidRDefault="004665DD" w:rsidP="004665DD">
      <w:pPr>
        <w:spacing w:after="0" w:line="240" w:lineRule="auto"/>
        <w:ind w:left="567" w:right="260"/>
        <w:rPr>
          <w:b/>
          <w:bCs/>
          <w:noProof/>
          <w:sz w:val="24"/>
          <w:szCs w:val="24"/>
        </w:rPr>
      </w:pPr>
      <w:r w:rsidRPr="00320744">
        <w:rPr>
          <w:b/>
          <w:bCs/>
          <w:noProof/>
          <w:sz w:val="24"/>
          <w:szCs w:val="24"/>
        </w:rPr>
        <w:t xml:space="preserve">Thinking, planning and communication </w:t>
      </w:r>
    </w:p>
    <w:p w14:paraId="387ED4E6" w14:textId="77777777" w:rsidR="004665DD" w:rsidRPr="00320744" w:rsidRDefault="004665DD" w:rsidP="004665DD">
      <w:pPr>
        <w:spacing w:after="0" w:line="240" w:lineRule="auto"/>
        <w:ind w:left="567" w:right="260"/>
        <w:rPr>
          <w:noProof/>
          <w:sz w:val="24"/>
          <w:szCs w:val="24"/>
        </w:rPr>
      </w:pPr>
    </w:p>
    <w:p w14:paraId="74BA426F" w14:textId="77777777" w:rsidR="004665DD" w:rsidRPr="00320744" w:rsidRDefault="004665DD" w:rsidP="004665DD">
      <w:pPr>
        <w:spacing w:after="0" w:line="240" w:lineRule="auto"/>
        <w:ind w:left="567" w:right="260"/>
        <w:rPr>
          <w:noProof/>
          <w:sz w:val="24"/>
          <w:szCs w:val="24"/>
        </w:rPr>
      </w:pPr>
      <w:r w:rsidRPr="0032074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320744">
        <w:rPr>
          <w:noProof/>
          <w:sz w:val="24"/>
          <w:szCs w:val="24"/>
        </w:rPr>
        <w:t>ervice management.</w:t>
      </w:r>
    </w:p>
    <w:p w14:paraId="28939616" w14:textId="77777777" w:rsidR="004665DD" w:rsidRPr="00320744" w:rsidRDefault="004665DD" w:rsidP="004665DD">
      <w:pPr>
        <w:spacing w:after="0" w:line="240" w:lineRule="auto"/>
        <w:ind w:left="567" w:right="260"/>
        <w:rPr>
          <w:noProof/>
          <w:sz w:val="24"/>
          <w:szCs w:val="24"/>
        </w:rPr>
      </w:pPr>
    </w:p>
    <w:p w14:paraId="40F183E9" w14:textId="77777777" w:rsidR="004665DD" w:rsidRPr="00320744" w:rsidRDefault="004665DD" w:rsidP="004665DD">
      <w:pPr>
        <w:spacing w:after="0" w:line="240" w:lineRule="auto"/>
        <w:ind w:left="567" w:right="260"/>
        <w:rPr>
          <w:noProof/>
          <w:sz w:val="24"/>
          <w:szCs w:val="24"/>
        </w:rPr>
      </w:pPr>
      <w:r w:rsidRPr="0032074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0C5E6B26" w14:textId="77777777" w:rsidR="004665DD" w:rsidRPr="00320744" w:rsidRDefault="004665DD" w:rsidP="004665DD">
      <w:pPr>
        <w:spacing w:after="0" w:line="240" w:lineRule="auto"/>
        <w:ind w:left="567" w:right="260"/>
        <w:rPr>
          <w:b/>
          <w:bCs/>
          <w:noProof/>
          <w:sz w:val="24"/>
          <w:szCs w:val="24"/>
        </w:rPr>
      </w:pPr>
    </w:p>
    <w:p w14:paraId="1D413AB1" w14:textId="77777777" w:rsidR="004665DD" w:rsidRPr="00320744" w:rsidRDefault="004665DD" w:rsidP="004665DD">
      <w:pPr>
        <w:spacing w:after="0" w:line="240" w:lineRule="auto"/>
        <w:ind w:left="567" w:right="260"/>
        <w:rPr>
          <w:b/>
          <w:bCs/>
          <w:noProof/>
          <w:sz w:val="24"/>
          <w:szCs w:val="24"/>
        </w:rPr>
      </w:pPr>
      <w:r w:rsidRPr="00320744">
        <w:rPr>
          <w:b/>
          <w:bCs/>
          <w:noProof/>
          <w:sz w:val="24"/>
          <w:szCs w:val="24"/>
        </w:rPr>
        <w:t>Decision making and innovation</w:t>
      </w:r>
    </w:p>
    <w:p w14:paraId="6A756061" w14:textId="77777777" w:rsidR="004665DD" w:rsidRPr="00320744" w:rsidRDefault="004665DD" w:rsidP="004665DD">
      <w:pPr>
        <w:spacing w:after="0" w:line="240" w:lineRule="auto"/>
        <w:ind w:left="567" w:right="260"/>
        <w:rPr>
          <w:noProof/>
          <w:sz w:val="24"/>
          <w:szCs w:val="24"/>
        </w:rPr>
      </w:pPr>
    </w:p>
    <w:p w14:paraId="33FF5F67" w14:textId="77777777" w:rsidR="004665DD" w:rsidRPr="00320744" w:rsidRDefault="004665DD" w:rsidP="004665DD">
      <w:pPr>
        <w:spacing w:after="0" w:line="240" w:lineRule="auto"/>
        <w:ind w:left="567" w:right="260"/>
        <w:rPr>
          <w:noProof/>
          <w:sz w:val="24"/>
          <w:szCs w:val="24"/>
        </w:rPr>
      </w:pPr>
      <w:r w:rsidRPr="0032074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66FBB70D" w14:textId="77777777" w:rsidR="004665DD" w:rsidRPr="00320744" w:rsidRDefault="004665DD" w:rsidP="004665DD">
      <w:pPr>
        <w:spacing w:after="0" w:line="240" w:lineRule="auto"/>
        <w:ind w:left="567" w:right="260"/>
        <w:rPr>
          <w:noProof/>
          <w:sz w:val="24"/>
          <w:szCs w:val="24"/>
        </w:rPr>
      </w:pPr>
    </w:p>
    <w:p w14:paraId="61AA563F" w14:textId="77777777" w:rsidR="004665DD" w:rsidRPr="00320744" w:rsidRDefault="004665DD" w:rsidP="004665DD">
      <w:pPr>
        <w:spacing w:after="0" w:line="240" w:lineRule="auto"/>
        <w:ind w:left="567" w:right="260"/>
        <w:rPr>
          <w:b/>
          <w:bCs/>
          <w:noProof/>
          <w:sz w:val="24"/>
          <w:szCs w:val="24"/>
        </w:rPr>
      </w:pPr>
      <w:r w:rsidRPr="00320744">
        <w:rPr>
          <w:b/>
          <w:bCs/>
          <w:noProof/>
          <w:sz w:val="24"/>
          <w:szCs w:val="24"/>
        </w:rPr>
        <w:t>Areas of responsibility</w:t>
      </w:r>
    </w:p>
    <w:p w14:paraId="5EBB97A3" w14:textId="77777777" w:rsidR="004665DD" w:rsidRPr="00320744" w:rsidRDefault="004665DD" w:rsidP="004665DD">
      <w:pPr>
        <w:spacing w:after="0" w:line="240" w:lineRule="auto"/>
        <w:ind w:left="567" w:right="260"/>
        <w:rPr>
          <w:noProof/>
          <w:sz w:val="24"/>
          <w:szCs w:val="24"/>
        </w:rPr>
      </w:pPr>
    </w:p>
    <w:p w14:paraId="5DB51F81" w14:textId="77777777" w:rsidR="004665DD" w:rsidRPr="00320744" w:rsidRDefault="004665DD" w:rsidP="004665DD">
      <w:pPr>
        <w:spacing w:after="0" w:line="240" w:lineRule="auto"/>
        <w:ind w:left="567" w:right="260"/>
        <w:rPr>
          <w:noProof/>
          <w:sz w:val="24"/>
          <w:szCs w:val="24"/>
        </w:rPr>
      </w:pPr>
      <w:r w:rsidRPr="00320744">
        <w:rPr>
          <w:noProof/>
          <w:sz w:val="24"/>
          <w:szCs w:val="24"/>
        </w:rPr>
        <w:t>With a diverse range of jobs being represented at this level, the precise blend of responsibilities for which the job holder is accountable will depend upon the service in which they operate.</w:t>
      </w:r>
    </w:p>
    <w:p w14:paraId="08868929" w14:textId="77777777" w:rsidR="004665DD" w:rsidRPr="00320744" w:rsidRDefault="004665DD" w:rsidP="004665DD">
      <w:pPr>
        <w:spacing w:after="0" w:line="240" w:lineRule="auto"/>
        <w:ind w:left="567" w:right="260"/>
        <w:rPr>
          <w:noProof/>
          <w:sz w:val="24"/>
          <w:szCs w:val="24"/>
        </w:rPr>
      </w:pPr>
    </w:p>
    <w:p w14:paraId="2C488F96" w14:textId="77777777" w:rsidR="004665DD" w:rsidRPr="00320744" w:rsidRDefault="004665DD" w:rsidP="004665DD">
      <w:pPr>
        <w:spacing w:after="0" w:line="240" w:lineRule="auto"/>
        <w:ind w:left="567" w:right="260"/>
        <w:rPr>
          <w:noProof/>
          <w:sz w:val="24"/>
          <w:szCs w:val="24"/>
        </w:rPr>
      </w:pPr>
      <w:r w:rsidRPr="0032074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76B92EFA" w14:textId="77777777" w:rsidR="004665DD" w:rsidRPr="00320744" w:rsidRDefault="004665DD" w:rsidP="004665DD">
      <w:pPr>
        <w:spacing w:after="0" w:line="240" w:lineRule="auto"/>
        <w:ind w:left="567" w:right="260"/>
        <w:rPr>
          <w:noProof/>
          <w:sz w:val="24"/>
          <w:szCs w:val="24"/>
        </w:rPr>
      </w:pPr>
    </w:p>
    <w:p w14:paraId="394C2395" w14:textId="77777777" w:rsidR="004665DD" w:rsidRPr="00320744" w:rsidRDefault="004665DD" w:rsidP="004665DD">
      <w:pPr>
        <w:spacing w:after="0" w:line="240" w:lineRule="auto"/>
        <w:ind w:left="567" w:right="260"/>
        <w:rPr>
          <w:noProof/>
          <w:sz w:val="24"/>
          <w:szCs w:val="24"/>
        </w:rPr>
      </w:pPr>
      <w:r w:rsidRPr="0032074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38FDE139" w14:textId="77777777" w:rsidR="004665DD" w:rsidRPr="00320744" w:rsidRDefault="004665DD" w:rsidP="004665DD">
      <w:pPr>
        <w:spacing w:after="0" w:line="240" w:lineRule="auto"/>
        <w:ind w:left="567" w:right="260"/>
        <w:rPr>
          <w:noProof/>
          <w:sz w:val="24"/>
          <w:szCs w:val="24"/>
        </w:rPr>
      </w:pPr>
    </w:p>
    <w:p w14:paraId="7EB6163A" w14:textId="77777777" w:rsidR="004665DD" w:rsidRDefault="004665DD" w:rsidP="004665DD">
      <w:pPr>
        <w:spacing w:after="0" w:line="240" w:lineRule="auto"/>
        <w:ind w:left="567" w:right="260"/>
        <w:rPr>
          <w:noProof/>
          <w:sz w:val="24"/>
          <w:szCs w:val="24"/>
        </w:rPr>
      </w:pPr>
      <w:r w:rsidRPr="0032074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320744">
        <w:rPr>
          <w:noProof/>
          <w:sz w:val="24"/>
          <w:szCs w:val="24"/>
        </w:rPr>
        <w:t>ouncil services, finance or other major asset(s).</w:t>
      </w:r>
    </w:p>
    <w:p w14:paraId="2A7FBD10" w14:textId="77777777" w:rsidR="004665DD" w:rsidRDefault="004665DD" w:rsidP="004665DD">
      <w:pPr>
        <w:spacing w:after="0" w:line="240" w:lineRule="auto"/>
        <w:ind w:left="567" w:right="260"/>
        <w:rPr>
          <w:noProof/>
          <w:sz w:val="24"/>
          <w:szCs w:val="24"/>
        </w:rPr>
      </w:pPr>
    </w:p>
    <w:p w14:paraId="0184CA62" w14:textId="77777777" w:rsidR="004665DD" w:rsidRPr="00320744" w:rsidRDefault="004665DD" w:rsidP="004665DD">
      <w:pPr>
        <w:spacing w:after="0" w:line="240" w:lineRule="auto"/>
        <w:ind w:left="567" w:right="260"/>
        <w:rPr>
          <w:noProof/>
          <w:sz w:val="24"/>
          <w:szCs w:val="24"/>
        </w:rPr>
      </w:pPr>
    </w:p>
    <w:p w14:paraId="5E54D496" w14:textId="77777777" w:rsidR="004665DD" w:rsidRPr="00320744" w:rsidRDefault="004665DD" w:rsidP="004665DD">
      <w:pPr>
        <w:spacing w:after="0" w:line="240" w:lineRule="auto"/>
        <w:ind w:left="567" w:right="260"/>
        <w:rPr>
          <w:noProof/>
          <w:sz w:val="24"/>
          <w:szCs w:val="24"/>
        </w:rPr>
      </w:pPr>
    </w:p>
    <w:p w14:paraId="776C672A" w14:textId="77777777" w:rsidR="004665DD" w:rsidRPr="00320744" w:rsidRDefault="004665DD" w:rsidP="004665DD">
      <w:pPr>
        <w:spacing w:after="0" w:line="240" w:lineRule="auto"/>
        <w:ind w:left="567" w:right="260"/>
        <w:rPr>
          <w:b/>
          <w:bCs/>
          <w:noProof/>
          <w:sz w:val="24"/>
          <w:szCs w:val="24"/>
        </w:rPr>
      </w:pPr>
      <w:r w:rsidRPr="00320744">
        <w:rPr>
          <w:b/>
          <w:bCs/>
          <w:noProof/>
          <w:sz w:val="24"/>
          <w:szCs w:val="24"/>
        </w:rPr>
        <w:lastRenderedPageBreak/>
        <w:t>Impacts and demands</w:t>
      </w:r>
    </w:p>
    <w:p w14:paraId="14BEB869" w14:textId="77777777" w:rsidR="004665DD" w:rsidRPr="00320744" w:rsidRDefault="004665DD" w:rsidP="004665DD">
      <w:pPr>
        <w:spacing w:after="0" w:line="240" w:lineRule="auto"/>
        <w:ind w:left="567" w:right="260"/>
        <w:rPr>
          <w:noProof/>
          <w:sz w:val="24"/>
          <w:szCs w:val="24"/>
        </w:rPr>
      </w:pPr>
    </w:p>
    <w:p w14:paraId="73B55B40" w14:textId="77777777" w:rsidR="004665DD" w:rsidRPr="00320744" w:rsidRDefault="004665DD" w:rsidP="004665DD">
      <w:pPr>
        <w:spacing w:after="0" w:line="240" w:lineRule="auto"/>
        <w:ind w:left="567" w:right="260"/>
        <w:rPr>
          <w:noProof/>
          <w:sz w:val="24"/>
          <w:szCs w:val="24"/>
        </w:rPr>
      </w:pPr>
      <w:r w:rsidRPr="00320744">
        <w:rPr>
          <w:noProof/>
          <w:sz w:val="24"/>
          <w:szCs w:val="24"/>
        </w:rPr>
        <w:t>Tasks and duties will be generally carried out in a sedentary position but there will always be a requirement for standing and walking from time to time, and the occasional need to lift or carry items.</w:t>
      </w:r>
    </w:p>
    <w:p w14:paraId="0F7A8E8E" w14:textId="77777777" w:rsidR="004665DD" w:rsidRPr="00320744" w:rsidRDefault="004665DD" w:rsidP="004665DD">
      <w:pPr>
        <w:spacing w:after="0" w:line="240" w:lineRule="auto"/>
        <w:ind w:left="567" w:right="260"/>
        <w:rPr>
          <w:noProof/>
          <w:sz w:val="24"/>
          <w:szCs w:val="24"/>
        </w:rPr>
      </w:pPr>
    </w:p>
    <w:p w14:paraId="6BBB8B11" w14:textId="77777777" w:rsidR="004665DD" w:rsidRPr="00320744" w:rsidRDefault="004665DD" w:rsidP="004665DD">
      <w:pPr>
        <w:spacing w:after="0" w:line="240" w:lineRule="auto"/>
        <w:ind w:left="567" w:right="260"/>
        <w:rPr>
          <w:noProof/>
          <w:sz w:val="24"/>
          <w:szCs w:val="24"/>
        </w:rPr>
      </w:pPr>
      <w:r w:rsidRPr="0032074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14D2EED5" w14:textId="77777777" w:rsidR="004665DD" w:rsidRPr="00320744" w:rsidRDefault="004665DD" w:rsidP="004665DD">
      <w:pPr>
        <w:spacing w:after="0" w:line="240" w:lineRule="auto"/>
        <w:ind w:left="567" w:right="260"/>
        <w:rPr>
          <w:noProof/>
          <w:sz w:val="24"/>
          <w:szCs w:val="24"/>
        </w:rPr>
      </w:pPr>
    </w:p>
    <w:p w14:paraId="7B212B54" w14:textId="77777777" w:rsidR="004665DD" w:rsidRPr="00320744" w:rsidRDefault="004665DD" w:rsidP="004665DD">
      <w:pPr>
        <w:spacing w:after="0" w:line="240" w:lineRule="auto"/>
        <w:ind w:left="567" w:right="260"/>
        <w:rPr>
          <w:noProof/>
          <w:sz w:val="24"/>
          <w:szCs w:val="24"/>
        </w:rPr>
      </w:pPr>
      <w:r w:rsidRPr="0032074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4288406F" w14:textId="77777777" w:rsidR="004665DD" w:rsidRPr="00320744" w:rsidRDefault="004665DD" w:rsidP="004665DD">
      <w:pPr>
        <w:spacing w:after="0" w:line="240" w:lineRule="auto"/>
        <w:ind w:left="567" w:right="260"/>
        <w:rPr>
          <w:noProof/>
          <w:sz w:val="24"/>
          <w:szCs w:val="24"/>
        </w:rPr>
      </w:pPr>
    </w:p>
    <w:p w14:paraId="001CB32D" w14:textId="77777777" w:rsidR="004665DD" w:rsidRPr="00320744" w:rsidRDefault="004665DD" w:rsidP="004665DD">
      <w:pPr>
        <w:spacing w:after="0" w:line="240" w:lineRule="auto"/>
        <w:ind w:left="567" w:right="260"/>
        <w:rPr>
          <w:noProof/>
          <w:sz w:val="24"/>
          <w:szCs w:val="24"/>
        </w:rPr>
      </w:pPr>
      <w:r w:rsidRPr="0032074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8127872" w14:textId="77777777" w:rsidR="004665DD" w:rsidRPr="00320744" w:rsidRDefault="004665DD" w:rsidP="004665DD">
      <w:pPr>
        <w:spacing w:after="0" w:line="240" w:lineRule="auto"/>
        <w:ind w:left="567" w:right="260"/>
        <w:rPr>
          <w:noProof/>
          <w:sz w:val="24"/>
          <w:szCs w:val="24"/>
        </w:rPr>
      </w:pPr>
    </w:p>
    <w:p w14:paraId="27A3A8F9" w14:textId="77777777" w:rsidR="004665DD" w:rsidRPr="00EB5244" w:rsidRDefault="004665DD" w:rsidP="004665DD">
      <w:pPr>
        <w:spacing w:after="0" w:line="240" w:lineRule="auto"/>
        <w:ind w:left="567" w:right="260"/>
        <w:rPr>
          <w:noProof/>
          <w:sz w:val="24"/>
          <w:szCs w:val="24"/>
        </w:rPr>
      </w:pPr>
      <w:r w:rsidRPr="0032074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478DB280" w14:textId="77777777" w:rsidR="00213A64" w:rsidRDefault="00213A64"/>
    <w:sectPr w:rsidR="00213A64" w:rsidSect="004665DD">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8118" w14:textId="77777777" w:rsidR="00186C9D" w:rsidRDefault="00186C9D">
      <w:pPr>
        <w:spacing w:after="0" w:line="240" w:lineRule="auto"/>
      </w:pPr>
      <w:r>
        <w:separator/>
      </w:r>
    </w:p>
  </w:endnote>
  <w:endnote w:type="continuationSeparator" w:id="0">
    <w:p w14:paraId="312B4283" w14:textId="77777777" w:rsidR="00186C9D" w:rsidRDefault="0018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0AED" w14:textId="77777777" w:rsidR="004665DD" w:rsidRDefault="004665DD" w:rsidP="00427359">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97EC" w14:textId="77777777" w:rsidR="00186C9D" w:rsidRDefault="00186C9D">
      <w:pPr>
        <w:spacing w:after="0" w:line="240" w:lineRule="auto"/>
      </w:pPr>
      <w:r>
        <w:separator/>
      </w:r>
    </w:p>
  </w:footnote>
  <w:footnote w:type="continuationSeparator" w:id="0">
    <w:p w14:paraId="0ED729F3" w14:textId="77777777" w:rsidR="00186C9D" w:rsidRDefault="00186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0E1F" w14:textId="30495E24" w:rsidR="004665DD" w:rsidRDefault="004665DD" w:rsidP="00427359">
    <w:pPr>
      <w:pStyle w:val="Header"/>
      <w:spacing w:after="120"/>
    </w:pPr>
    <w:r>
      <w:rPr>
        <w:noProof/>
      </w:rPr>
      <mc:AlternateContent>
        <mc:Choice Requires="wps">
          <w:drawing>
            <wp:anchor distT="0" distB="0" distL="114300" distR="114300" simplePos="0" relativeHeight="251658241" behindDoc="0" locked="0" layoutInCell="1" allowOverlap="1" wp14:anchorId="4C962E79" wp14:editId="160A9D83">
              <wp:simplePos x="0" y="0"/>
              <wp:positionH relativeFrom="column">
                <wp:posOffset>-5661025</wp:posOffset>
              </wp:positionH>
              <wp:positionV relativeFrom="paragraph">
                <wp:posOffset>4491355</wp:posOffset>
              </wp:positionV>
              <wp:extent cx="10806430" cy="387350"/>
              <wp:effectExtent l="8890" t="0" r="3810" b="3810"/>
              <wp:wrapNone/>
              <wp:docPr id="130464834" name="Rectangle 2">
                <a:extLst xmlns:a="http://schemas.openxmlformats.org/drawingml/2006/main">
                  <a:ext uri="{FF2B5EF4-FFF2-40B4-BE49-F238E27FC236}">
                    <a16:creationId xmlns:a16="http://schemas.microsoft.com/office/drawing/2014/main" id="{1BE5EFFA-6554-4475-91D7-A9970E5D51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0806430" cy="387350"/>
                      </a:xfrm>
                      <a:prstGeom prst="rect">
                        <a:avLst/>
                      </a:prstGeom>
                      <a:solidFill>
                        <a:srgbClr val="0087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2F12F"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" fillcolor="#008796" stroked="f" strokeweight="1pt"/>
          </w:pict>
        </mc:Fallback>
      </mc:AlternateContent>
    </w:r>
    <w:r>
      <w:rPr>
        <w:noProof/>
      </w:rPr>
      <w:drawing>
        <wp:anchor distT="0" distB="0" distL="114300" distR="114300" simplePos="0" relativeHeight="251660289" behindDoc="0" locked="0" layoutInCell="1" allowOverlap="1" wp14:anchorId="3881C5E1" wp14:editId="50E04ABB">
          <wp:simplePos x="0" y="0"/>
          <wp:positionH relativeFrom="column">
            <wp:posOffset>3932555</wp:posOffset>
          </wp:positionH>
          <wp:positionV relativeFrom="paragraph">
            <wp:posOffset>-223520</wp:posOffset>
          </wp:positionV>
          <wp:extent cx="2535555" cy="632460"/>
          <wp:effectExtent l="0" t="0" r="0" b="0"/>
          <wp:wrapNone/>
          <wp:docPr id="954447866" name="Picture 1" descr="A close up of a logo&#10;&#10;Description automatically generated">
            <a:extLst xmlns:a="http://schemas.openxmlformats.org/drawingml/2006/main">
              <a:ext uri="{FF2B5EF4-FFF2-40B4-BE49-F238E27FC236}">
                <a16:creationId xmlns:a16="http://schemas.microsoft.com/office/drawing/2014/main" id="{D3A705F0-6626-401C-9366-D025454760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5555" cy="632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1"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6125813">
    <w:abstractNumId w:val="1"/>
  </w:num>
  <w:num w:numId="2" w16cid:durableId="6830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DD"/>
    <w:rsid w:val="00057A60"/>
    <w:rsid w:val="000C6975"/>
    <w:rsid w:val="000C7670"/>
    <w:rsid w:val="000C7752"/>
    <w:rsid w:val="000D7042"/>
    <w:rsid w:val="000E027A"/>
    <w:rsid w:val="000F28C7"/>
    <w:rsid w:val="00122833"/>
    <w:rsid w:val="00122D30"/>
    <w:rsid w:val="0013038E"/>
    <w:rsid w:val="00131D52"/>
    <w:rsid w:val="00134B6D"/>
    <w:rsid w:val="00146143"/>
    <w:rsid w:val="00160C81"/>
    <w:rsid w:val="00174E1F"/>
    <w:rsid w:val="00184DAA"/>
    <w:rsid w:val="00186C9D"/>
    <w:rsid w:val="001B77C6"/>
    <w:rsid w:val="0021058E"/>
    <w:rsid w:val="00213A64"/>
    <w:rsid w:val="00293265"/>
    <w:rsid w:val="002B70D9"/>
    <w:rsid w:val="002E651D"/>
    <w:rsid w:val="002F1FE0"/>
    <w:rsid w:val="0033426D"/>
    <w:rsid w:val="003449C0"/>
    <w:rsid w:val="003C2DC6"/>
    <w:rsid w:val="003C4E6A"/>
    <w:rsid w:val="00402958"/>
    <w:rsid w:val="00427359"/>
    <w:rsid w:val="00437219"/>
    <w:rsid w:val="004665DD"/>
    <w:rsid w:val="00475990"/>
    <w:rsid w:val="004A3746"/>
    <w:rsid w:val="004C678A"/>
    <w:rsid w:val="004D2263"/>
    <w:rsid w:val="004E396F"/>
    <w:rsid w:val="00525017"/>
    <w:rsid w:val="00554ABA"/>
    <w:rsid w:val="005B2FCC"/>
    <w:rsid w:val="005B5FCF"/>
    <w:rsid w:val="005E0F7A"/>
    <w:rsid w:val="005F40C8"/>
    <w:rsid w:val="00614635"/>
    <w:rsid w:val="00636805"/>
    <w:rsid w:val="00683F7F"/>
    <w:rsid w:val="006D0EA5"/>
    <w:rsid w:val="006D759A"/>
    <w:rsid w:val="00724FAF"/>
    <w:rsid w:val="00726B3B"/>
    <w:rsid w:val="00744385"/>
    <w:rsid w:val="00772DB6"/>
    <w:rsid w:val="007A2DFA"/>
    <w:rsid w:val="007B7152"/>
    <w:rsid w:val="007C267A"/>
    <w:rsid w:val="007E362B"/>
    <w:rsid w:val="00824B1E"/>
    <w:rsid w:val="0086300D"/>
    <w:rsid w:val="0087402C"/>
    <w:rsid w:val="008A5BFC"/>
    <w:rsid w:val="008C0A54"/>
    <w:rsid w:val="008F4E65"/>
    <w:rsid w:val="00960A5E"/>
    <w:rsid w:val="009A7B96"/>
    <w:rsid w:val="009B0C4A"/>
    <w:rsid w:val="009B573C"/>
    <w:rsid w:val="009D6788"/>
    <w:rsid w:val="00A272B7"/>
    <w:rsid w:val="00A8673B"/>
    <w:rsid w:val="00AD1C11"/>
    <w:rsid w:val="00AE0B90"/>
    <w:rsid w:val="00AE5956"/>
    <w:rsid w:val="00B20877"/>
    <w:rsid w:val="00B2673B"/>
    <w:rsid w:val="00B3128E"/>
    <w:rsid w:val="00B40341"/>
    <w:rsid w:val="00BD6563"/>
    <w:rsid w:val="00BE5E72"/>
    <w:rsid w:val="00C25776"/>
    <w:rsid w:val="00C25F23"/>
    <w:rsid w:val="00C5121D"/>
    <w:rsid w:val="00C6365E"/>
    <w:rsid w:val="00C73124"/>
    <w:rsid w:val="00C76937"/>
    <w:rsid w:val="00C97897"/>
    <w:rsid w:val="00D70C2D"/>
    <w:rsid w:val="00D8049B"/>
    <w:rsid w:val="00DB11EA"/>
    <w:rsid w:val="00DE7FCE"/>
    <w:rsid w:val="00E11389"/>
    <w:rsid w:val="00E23A1D"/>
    <w:rsid w:val="00E51138"/>
    <w:rsid w:val="00E754ED"/>
    <w:rsid w:val="00ED6459"/>
    <w:rsid w:val="00EE4BEE"/>
    <w:rsid w:val="00F30881"/>
    <w:rsid w:val="00F35B51"/>
    <w:rsid w:val="00F4540D"/>
    <w:rsid w:val="00F72706"/>
    <w:rsid w:val="00FB124C"/>
    <w:rsid w:val="00FB4FCB"/>
    <w:rsid w:val="00FB7468"/>
    <w:rsid w:val="00FB76D6"/>
    <w:rsid w:val="00FE5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BF76F"/>
  <w15:chartTrackingRefBased/>
  <w15:docId w15:val="{5F8464F8-A2F2-49F9-9131-8D52A904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DD"/>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665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65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65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65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65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6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5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65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65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65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65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6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5DD"/>
    <w:rPr>
      <w:rFonts w:eastAsiaTheme="majorEastAsia" w:cstheme="majorBidi"/>
      <w:color w:val="272727" w:themeColor="text1" w:themeTint="D8"/>
    </w:rPr>
  </w:style>
  <w:style w:type="paragraph" w:styleId="Title">
    <w:name w:val="Title"/>
    <w:basedOn w:val="Normal"/>
    <w:next w:val="Normal"/>
    <w:link w:val="TitleChar"/>
    <w:uiPriority w:val="10"/>
    <w:qFormat/>
    <w:rsid w:val="00466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5DD"/>
    <w:pPr>
      <w:spacing w:before="160"/>
      <w:jc w:val="center"/>
    </w:pPr>
    <w:rPr>
      <w:i/>
      <w:iCs/>
      <w:color w:val="404040" w:themeColor="text1" w:themeTint="BF"/>
    </w:rPr>
  </w:style>
  <w:style w:type="character" w:customStyle="1" w:styleId="QuoteChar">
    <w:name w:val="Quote Char"/>
    <w:basedOn w:val="DefaultParagraphFont"/>
    <w:link w:val="Quote"/>
    <w:uiPriority w:val="29"/>
    <w:rsid w:val="004665DD"/>
    <w:rPr>
      <w:i/>
      <w:iCs/>
      <w:color w:val="404040" w:themeColor="text1" w:themeTint="BF"/>
    </w:rPr>
  </w:style>
  <w:style w:type="paragraph" w:styleId="ListParagraph">
    <w:name w:val="List Paragraph"/>
    <w:basedOn w:val="Normal"/>
    <w:uiPriority w:val="34"/>
    <w:qFormat/>
    <w:rsid w:val="004665DD"/>
    <w:pPr>
      <w:ind w:left="720"/>
      <w:contextualSpacing/>
    </w:pPr>
  </w:style>
  <w:style w:type="character" w:styleId="IntenseEmphasis">
    <w:name w:val="Intense Emphasis"/>
    <w:basedOn w:val="DefaultParagraphFont"/>
    <w:uiPriority w:val="21"/>
    <w:qFormat/>
    <w:rsid w:val="004665DD"/>
    <w:rPr>
      <w:i/>
      <w:iCs/>
      <w:color w:val="2F5496" w:themeColor="accent1" w:themeShade="BF"/>
    </w:rPr>
  </w:style>
  <w:style w:type="paragraph" w:styleId="IntenseQuote">
    <w:name w:val="Intense Quote"/>
    <w:basedOn w:val="Normal"/>
    <w:next w:val="Normal"/>
    <w:link w:val="IntenseQuoteChar"/>
    <w:uiPriority w:val="30"/>
    <w:qFormat/>
    <w:rsid w:val="00466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65DD"/>
    <w:rPr>
      <w:i/>
      <w:iCs/>
      <w:color w:val="2F5496" w:themeColor="accent1" w:themeShade="BF"/>
    </w:rPr>
  </w:style>
  <w:style w:type="character" w:styleId="IntenseReference">
    <w:name w:val="Intense Reference"/>
    <w:basedOn w:val="DefaultParagraphFont"/>
    <w:uiPriority w:val="32"/>
    <w:qFormat/>
    <w:rsid w:val="004665DD"/>
    <w:rPr>
      <w:b/>
      <w:bCs/>
      <w:smallCaps/>
      <w:color w:val="2F5496" w:themeColor="accent1" w:themeShade="BF"/>
      <w:spacing w:val="5"/>
    </w:rPr>
  </w:style>
  <w:style w:type="paragraph" w:styleId="Header">
    <w:name w:val="header"/>
    <w:basedOn w:val="Normal"/>
    <w:link w:val="HeaderChar"/>
    <w:uiPriority w:val="99"/>
    <w:unhideWhenUsed/>
    <w:rsid w:val="00466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5DD"/>
    <w:rPr>
      <w:rFonts w:ascii="Calibri" w:eastAsia="Calibri" w:hAnsi="Calibri" w:cs="Times New Roman"/>
      <w:kern w:val="0"/>
      <w14:ligatures w14:val="none"/>
    </w:rPr>
  </w:style>
  <w:style w:type="paragraph" w:styleId="NormalWeb">
    <w:name w:val="Normal (Web)"/>
    <w:basedOn w:val="Normal"/>
    <w:uiPriority w:val="99"/>
    <w:unhideWhenUsed/>
    <w:rsid w:val="004665DD"/>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C25F23"/>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2E651D"/>
    <w:rPr>
      <w:sz w:val="16"/>
      <w:szCs w:val="16"/>
    </w:rPr>
  </w:style>
  <w:style w:type="paragraph" w:styleId="CommentText">
    <w:name w:val="annotation text"/>
    <w:basedOn w:val="Normal"/>
    <w:link w:val="CommentTextChar"/>
    <w:uiPriority w:val="99"/>
    <w:unhideWhenUsed/>
    <w:rsid w:val="002E651D"/>
    <w:pPr>
      <w:spacing w:line="240" w:lineRule="auto"/>
    </w:pPr>
    <w:rPr>
      <w:sz w:val="20"/>
      <w:szCs w:val="20"/>
    </w:rPr>
  </w:style>
  <w:style w:type="character" w:customStyle="1" w:styleId="CommentTextChar">
    <w:name w:val="Comment Text Char"/>
    <w:basedOn w:val="DefaultParagraphFont"/>
    <w:link w:val="CommentText"/>
    <w:uiPriority w:val="99"/>
    <w:rsid w:val="002E651D"/>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651D"/>
    <w:rPr>
      <w:b/>
      <w:bCs/>
    </w:rPr>
  </w:style>
  <w:style w:type="character" w:customStyle="1" w:styleId="CommentSubjectChar">
    <w:name w:val="Comment Subject Char"/>
    <w:basedOn w:val="CommentTextChar"/>
    <w:link w:val="CommentSubject"/>
    <w:uiPriority w:val="99"/>
    <w:semiHidden/>
    <w:rsid w:val="002E651D"/>
    <w:rPr>
      <w:rFonts w:ascii="Calibri" w:eastAsia="Calibri" w:hAnsi="Calibri" w:cs="Times New Roman"/>
      <w:b/>
      <w:bCs/>
      <w:kern w:val="0"/>
      <w:sz w:val="20"/>
      <w:szCs w:val="20"/>
      <w14:ligatures w14:val="none"/>
    </w:rPr>
  </w:style>
  <w:style w:type="paragraph" w:styleId="Footer">
    <w:name w:val="footer"/>
    <w:basedOn w:val="Normal"/>
    <w:link w:val="FooterChar"/>
    <w:uiPriority w:val="99"/>
    <w:semiHidden/>
    <w:unhideWhenUsed/>
    <w:rsid w:val="0042735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2735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7439D-641E-4527-A850-F57617C178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7CADD3-9C87-4F18-944B-DC61F8FF73B9}">
  <ds:schemaRefs>
    <ds:schemaRef ds:uri="http://schemas.microsoft.com/sharepoint/v3/contenttype/forms"/>
  </ds:schemaRefs>
</ds:datastoreItem>
</file>

<file path=customXml/itemProps3.xml><?xml version="1.0" encoding="utf-8"?>
<ds:datastoreItem xmlns:ds="http://schemas.openxmlformats.org/officeDocument/2006/customXml" ds:itemID="{91A6553F-2349-4E47-8FAA-0EBC0783C16F}">
  <ds:schemaRefs>
    <ds:schemaRef ds:uri="Microsoft.SharePoint.Taxonomy.ContentTypeSync"/>
  </ds:schemaRefs>
</ds:datastoreItem>
</file>

<file path=customXml/itemProps4.xml><?xml version="1.0" encoding="utf-8"?>
<ds:datastoreItem xmlns:ds="http://schemas.openxmlformats.org/officeDocument/2006/customXml" ds:itemID="{FB6DC736-4334-4FF4-BE34-ED2C24AE3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1461</Words>
  <Characters>8450</Characters>
  <Application>Microsoft Office Word</Application>
  <DocSecurity>0</DocSecurity>
  <Lines>209</Lines>
  <Paragraphs>88</Paragraphs>
  <ScaleCrop>false</ScaleCrop>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Richardson</dc:creator>
  <cp:keywords/>
  <dc:description/>
  <cp:lastModifiedBy>Hannah Lloyd-Knibbs</cp:lastModifiedBy>
  <cp:revision>3</cp:revision>
  <dcterms:created xsi:type="dcterms:W3CDTF">2026-04-09T09:58:00Z</dcterms:created>
  <dcterms:modified xsi:type="dcterms:W3CDTF">2026-04-20T09:30:00Z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0x010100073DBBF460B4694388C550D7D3B139990015EBF22110BC9749B0926D9B2897F083</vt:lpwstr>
  </property>
</Properties>
</file>