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46B935E" w:rsidR="0017540B" w:rsidRPr="003C2084" w:rsidRDefault="00A3371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Corporate Information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46C72EF" w:rsidR="00844611" w:rsidRPr="001F4958" w:rsidRDefault="00A3371F" w:rsidP="00C577BE">
            <w:pPr>
              <w:spacing w:after="0" w:line="240" w:lineRule="auto"/>
              <w:ind w:right="118"/>
              <w:contextualSpacing/>
              <w:rPr>
                <w:rFonts w:cstheme="minorHAnsi"/>
                <w:noProof/>
                <w:sz w:val="24"/>
                <w:szCs w:val="24"/>
              </w:rPr>
            </w:pPr>
            <w:r>
              <w:rPr>
                <w:rFonts w:cstheme="minorHAnsi"/>
                <w:color w:val="000000" w:themeColor="text1"/>
              </w:rPr>
              <w:t>Customer Data and Insight</w:t>
            </w:r>
          </w:p>
        </w:tc>
      </w:tr>
      <w:tr w:rsidR="00A3371F" w:rsidRPr="001F4958" w14:paraId="30526493" w14:textId="77777777" w:rsidTr="00882F7E">
        <w:tc>
          <w:tcPr>
            <w:tcW w:w="2263" w:type="dxa"/>
          </w:tcPr>
          <w:p w14:paraId="3A83CFE6" w14:textId="3867A94C"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B7AD701" w:rsidR="00A3371F" w:rsidRPr="001F4958" w:rsidRDefault="00A3371F" w:rsidP="00A3371F">
            <w:pPr>
              <w:spacing w:after="0" w:line="240" w:lineRule="auto"/>
              <w:ind w:right="118"/>
              <w:contextualSpacing/>
              <w:rPr>
                <w:rFonts w:cstheme="minorHAnsi"/>
                <w:noProof/>
                <w:sz w:val="24"/>
                <w:szCs w:val="24"/>
              </w:rPr>
            </w:pPr>
            <w:r>
              <w:rPr>
                <w:rFonts w:cstheme="minorHAnsi"/>
                <w:color w:val="000000" w:themeColor="text1"/>
              </w:rPr>
              <w:t xml:space="preserve">Privacy and records manager </w:t>
            </w:r>
          </w:p>
        </w:tc>
      </w:tr>
      <w:tr w:rsidR="00A3371F" w:rsidRPr="001F4958" w14:paraId="5E47E8CA" w14:textId="77777777" w:rsidTr="00882F7E">
        <w:tc>
          <w:tcPr>
            <w:tcW w:w="2263" w:type="dxa"/>
          </w:tcPr>
          <w:p w14:paraId="63E919AA" w14:textId="556CF943"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A3371F" w:rsidRPr="001F4958" w:rsidRDefault="00A3371F" w:rsidP="00A3371F">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A3371F" w:rsidRPr="001F4958" w14:paraId="7C37660B" w14:textId="77777777" w:rsidTr="00882F7E">
        <w:tc>
          <w:tcPr>
            <w:tcW w:w="2263" w:type="dxa"/>
          </w:tcPr>
          <w:p w14:paraId="07BA6B33" w14:textId="4EABDCDD"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A3371F" w:rsidRPr="001F4958" w:rsidRDefault="00A3371F" w:rsidP="00A3371F">
            <w:pPr>
              <w:spacing w:after="0" w:line="240" w:lineRule="auto"/>
              <w:ind w:right="118"/>
              <w:contextualSpacing/>
              <w:rPr>
                <w:rFonts w:cstheme="minorHAnsi"/>
                <w:noProof/>
                <w:sz w:val="24"/>
                <w:szCs w:val="24"/>
              </w:rPr>
            </w:pPr>
            <w:r>
              <w:rPr>
                <w:rFonts w:cstheme="minorHAnsi"/>
                <w:noProof/>
                <w:sz w:val="24"/>
                <w:szCs w:val="24"/>
              </w:rPr>
              <w:t>F</w:t>
            </w:r>
          </w:p>
        </w:tc>
      </w:tr>
      <w:tr w:rsidR="00A3371F" w:rsidRPr="001F4958" w14:paraId="7DCBB216" w14:textId="77777777" w:rsidTr="00882F7E">
        <w:tc>
          <w:tcPr>
            <w:tcW w:w="2263" w:type="dxa"/>
          </w:tcPr>
          <w:p w14:paraId="7452ABBB" w14:textId="09354915"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464A523" w:rsidR="00A3371F" w:rsidRPr="001F4958" w:rsidRDefault="00A3371F" w:rsidP="00A3371F">
            <w:pPr>
              <w:spacing w:after="0" w:line="240" w:lineRule="auto"/>
              <w:ind w:right="118"/>
              <w:contextualSpacing/>
              <w:rPr>
                <w:rFonts w:cstheme="minorHAnsi"/>
                <w:noProof/>
                <w:sz w:val="24"/>
                <w:szCs w:val="24"/>
              </w:rPr>
            </w:pPr>
            <w:r w:rsidRPr="001F4958">
              <w:rPr>
                <w:rFonts w:cstheme="minorHAnsi"/>
                <w:noProof/>
                <w:sz w:val="24"/>
                <w:szCs w:val="24"/>
              </w:rPr>
              <w:t>N</w:t>
            </w:r>
          </w:p>
        </w:tc>
      </w:tr>
      <w:tr w:rsidR="00A3371F" w:rsidRPr="001F4958" w14:paraId="4FD2C8EE" w14:textId="77777777" w:rsidTr="00882F7E">
        <w:tc>
          <w:tcPr>
            <w:tcW w:w="2263" w:type="dxa"/>
          </w:tcPr>
          <w:p w14:paraId="7F90593B" w14:textId="56F02F79" w:rsidR="00A3371F" w:rsidRPr="001F4958" w:rsidRDefault="00A3371F" w:rsidP="00A3371F">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4201C0F" w:rsidR="00A3371F" w:rsidRPr="001F4958" w:rsidRDefault="00A3371F" w:rsidP="00A3371F">
            <w:pPr>
              <w:spacing w:after="0" w:line="240" w:lineRule="auto"/>
              <w:ind w:right="118"/>
              <w:contextualSpacing/>
              <w:rPr>
                <w:rFonts w:cstheme="minorHAnsi"/>
                <w:noProof/>
                <w:sz w:val="24"/>
                <w:szCs w:val="24"/>
              </w:rPr>
            </w:pPr>
            <w:r>
              <w:rPr>
                <w:rFonts w:cstheme="minorHAnsi"/>
                <w:noProof/>
                <w:sz w:val="24"/>
                <w:szCs w:val="24"/>
              </w:rPr>
              <w:t>N</w:t>
            </w:r>
          </w:p>
        </w:tc>
      </w:tr>
      <w:tr w:rsidR="00A3371F" w:rsidRPr="001F4958" w14:paraId="32A5D7AC" w14:textId="77777777" w:rsidTr="004754B8">
        <w:tc>
          <w:tcPr>
            <w:tcW w:w="2263" w:type="dxa"/>
          </w:tcPr>
          <w:p w14:paraId="04261768" w14:textId="77777777"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9C32E83" w:rsidR="00A3371F" w:rsidRPr="001F4958" w:rsidRDefault="00A3371F" w:rsidP="00A3371F">
            <w:pPr>
              <w:spacing w:after="0" w:line="240" w:lineRule="auto"/>
              <w:ind w:right="118"/>
              <w:contextualSpacing/>
              <w:rPr>
                <w:rFonts w:cstheme="minorHAnsi"/>
                <w:noProof/>
                <w:sz w:val="24"/>
                <w:szCs w:val="24"/>
              </w:rPr>
            </w:pPr>
            <w:r>
              <w:rPr>
                <w:rFonts w:cstheme="minorHAnsi"/>
                <w:noProof/>
                <w:sz w:val="24"/>
                <w:szCs w:val="24"/>
              </w:rPr>
              <w:t>April 2025</w:t>
            </w:r>
          </w:p>
        </w:tc>
      </w:tr>
      <w:tr w:rsidR="00A3371F" w:rsidRPr="001F4958" w14:paraId="0E487A16" w14:textId="77777777" w:rsidTr="00882F7E">
        <w:tc>
          <w:tcPr>
            <w:tcW w:w="2263" w:type="dxa"/>
          </w:tcPr>
          <w:p w14:paraId="1CA070BD" w14:textId="43002921" w:rsidR="00A3371F" w:rsidRPr="001F4958" w:rsidRDefault="00A3371F" w:rsidP="00A3371F">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6B4016C" w:rsidR="00A3371F" w:rsidRPr="001F4958" w:rsidRDefault="00A3371F" w:rsidP="00A3371F">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1113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A3371F" w:rsidRDefault="000D2837" w:rsidP="00C577BE">
            <w:pPr>
              <w:spacing w:after="0" w:line="240" w:lineRule="auto"/>
              <w:ind w:right="118"/>
              <w:rPr>
                <w:rFonts w:ascii="Calibri" w:hAnsi="Calibri" w:cs="Calibri"/>
                <w:b/>
                <w:bCs/>
                <w:sz w:val="24"/>
                <w:szCs w:val="24"/>
              </w:rPr>
            </w:pPr>
            <w:bookmarkStart w:id="0" w:name="_Hlk163835639"/>
            <w:r w:rsidRPr="00A3371F">
              <w:rPr>
                <w:rFonts w:ascii="Calibri" w:hAnsi="Calibri" w:cs="Calibri"/>
                <w:b/>
                <w:bCs/>
                <w:sz w:val="24"/>
                <w:szCs w:val="24"/>
              </w:rPr>
              <w:t>1</w:t>
            </w:r>
          </w:p>
        </w:tc>
        <w:tc>
          <w:tcPr>
            <w:tcW w:w="9072" w:type="dxa"/>
          </w:tcPr>
          <w:p w14:paraId="29AFE90E" w14:textId="5ACA3B29" w:rsidR="000D2837" w:rsidRPr="00A3371F" w:rsidRDefault="00A3371F" w:rsidP="00C577BE">
            <w:pPr>
              <w:spacing w:after="0" w:line="240" w:lineRule="auto"/>
              <w:ind w:right="118"/>
              <w:rPr>
                <w:rFonts w:ascii="Calibri" w:hAnsi="Calibri" w:cs="Calibri"/>
                <w:sz w:val="24"/>
                <w:szCs w:val="24"/>
              </w:rPr>
            </w:pPr>
            <w:r w:rsidRPr="00A3371F">
              <w:rPr>
                <w:rFonts w:ascii="Calibri" w:hAnsi="Calibri" w:cs="Calibri"/>
                <w:sz w:val="24"/>
                <w:szCs w:val="24"/>
              </w:rPr>
              <w:t xml:space="preserve">To maintain up to date professional knowledge of Data Protection, Subject access requests (SAR) Freedom of Information (FOI) and Environmental Information Regulations (EIR) </w:t>
            </w:r>
            <w:proofErr w:type="gramStart"/>
            <w:r w:rsidRPr="00A3371F">
              <w:rPr>
                <w:rFonts w:ascii="Calibri" w:hAnsi="Calibri" w:cs="Calibri"/>
                <w:sz w:val="24"/>
                <w:szCs w:val="24"/>
              </w:rPr>
              <w:t>in order to</w:t>
            </w:r>
            <w:proofErr w:type="gramEnd"/>
            <w:r w:rsidRPr="00A3371F">
              <w:rPr>
                <w:rFonts w:ascii="Calibri" w:hAnsi="Calibri" w:cs="Calibri"/>
                <w:sz w:val="24"/>
                <w:szCs w:val="24"/>
              </w:rPr>
              <w:t xml:space="preserve"> provide advice, support and training to staff and managers across the organisation to ensure compliance with statutory requirements.</w:t>
            </w:r>
          </w:p>
        </w:tc>
      </w:tr>
      <w:tr w:rsidR="00A3371F" w14:paraId="1175A00B" w14:textId="77777777" w:rsidTr="009A58DA">
        <w:tc>
          <w:tcPr>
            <w:tcW w:w="456" w:type="dxa"/>
          </w:tcPr>
          <w:p w14:paraId="1648EC52" w14:textId="06E671FB"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2</w:t>
            </w:r>
          </w:p>
        </w:tc>
        <w:tc>
          <w:tcPr>
            <w:tcW w:w="9072" w:type="dxa"/>
          </w:tcPr>
          <w:p w14:paraId="069EB440" w14:textId="50539A06"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 xml:space="preserve">Maintain and update databases for SARs, FOI and EIR requests, liaising with key colleagues within services collating relevant information. and ensure timescales and quality requirements for responses are adhered to. Drafting responses where necessary. </w:t>
            </w:r>
          </w:p>
        </w:tc>
      </w:tr>
      <w:tr w:rsidR="00A3371F" w14:paraId="52DB8D7D" w14:textId="77777777" w:rsidTr="009A58DA">
        <w:tc>
          <w:tcPr>
            <w:tcW w:w="456" w:type="dxa"/>
          </w:tcPr>
          <w:p w14:paraId="68898096" w14:textId="51AF515F"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3</w:t>
            </w:r>
          </w:p>
        </w:tc>
        <w:tc>
          <w:tcPr>
            <w:tcW w:w="9072" w:type="dxa"/>
          </w:tcPr>
          <w:p w14:paraId="7E16FC57" w14:textId="6BD8132C"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 xml:space="preserve">Assess breach reports support colleagues to mitigate risk and implement improved data protection practices and escalate as appropriate to senior colleagues or the ICO  </w:t>
            </w:r>
          </w:p>
        </w:tc>
      </w:tr>
      <w:tr w:rsidR="00A3371F" w14:paraId="41071A23" w14:textId="77777777" w:rsidTr="009A58DA">
        <w:tc>
          <w:tcPr>
            <w:tcW w:w="456" w:type="dxa"/>
          </w:tcPr>
          <w:p w14:paraId="4BCFE63A" w14:textId="4DD18346"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4</w:t>
            </w:r>
          </w:p>
        </w:tc>
        <w:tc>
          <w:tcPr>
            <w:tcW w:w="9072" w:type="dxa"/>
          </w:tcPr>
          <w:p w14:paraId="01C0158B" w14:textId="20F23DA1"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To communicate directly with customers with queries relating to Data Protection and access to information requests</w:t>
            </w:r>
          </w:p>
        </w:tc>
      </w:tr>
      <w:tr w:rsidR="00A3371F" w14:paraId="1AFB009D" w14:textId="77777777" w:rsidTr="009A58DA">
        <w:tc>
          <w:tcPr>
            <w:tcW w:w="456" w:type="dxa"/>
          </w:tcPr>
          <w:p w14:paraId="488283BD" w14:textId="79A6057E"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5</w:t>
            </w:r>
          </w:p>
        </w:tc>
        <w:tc>
          <w:tcPr>
            <w:tcW w:w="9072" w:type="dxa"/>
          </w:tcPr>
          <w:p w14:paraId="5204BE07" w14:textId="02DCEF2C"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To support effective communication with the Information Commissioners Office by liaising with appropriate senior managers to enable a timely, quality response from the Council.</w:t>
            </w:r>
          </w:p>
        </w:tc>
      </w:tr>
      <w:tr w:rsidR="00A3371F" w14:paraId="4D030043" w14:textId="77777777" w:rsidTr="009A58DA">
        <w:tc>
          <w:tcPr>
            <w:tcW w:w="456" w:type="dxa"/>
          </w:tcPr>
          <w:p w14:paraId="2A535A5B" w14:textId="712DB6A5"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6</w:t>
            </w:r>
          </w:p>
        </w:tc>
        <w:tc>
          <w:tcPr>
            <w:tcW w:w="9072" w:type="dxa"/>
          </w:tcPr>
          <w:p w14:paraId="5ABE2E4C" w14:textId="75438D36"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 xml:space="preserve">Working with services to develop or adopt DPIAs and sharing and processing agreements in relation to projects or changes in data </w:t>
            </w:r>
            <w:proofErr w:type="gramStart"/>
            <w:r w:rsidRPr="00A3371F">
              <w:rPr>
                <w:rFonts w:ascii="Calibri" w:hAnsi="Calibri" w:cs="Calibri"/>
                <w:sz w:val="24"/>
                <w:szCs w:val="24"/>
              </w:rPr>
              <w:t>processing  identifying</w:t>
            </w:r>
            <w:proofErr w:type="gramEnd"/>
            <w:r w:rsidRPr="00A3371F">
              <w:rPr>
                <w:rFonts w:ascii="Calibri" w:hAnsi="Calibri" w:cs="Calibri"/>
                <w:sz w:val="24"/>
                <w:szCs w:val="24"/>
              </w:rPr>
              <w:t xml:space="preserve"> and mitigating risk protecting the organisation’s data and reputation as a data controller. Assisting the organisation to maintain records for UK GDPR compliance requirements</w:t>
            </w:r>
          </w:p>
        </w:tc>
      </w:tr>
      <w:tr w:rsidR="00A3371F" w14:paraId="7D207043" w14:textId="77777777" w:rsidTr="009A58DA">
        <w:tc>
          <w:tcPr>
            <w:tcW w:w="456" w:type="dxa"/>
          </w:tcPr>
          <w:p w14:paraId="0F97A048" w14:textId="588512E2"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7</w:t>
            </w:r>
          </w:p>
        </w:tc>
        <w:tc>
          <w:tcPr>
            <w:tcW w:w="9072" w:type="dxa"/>
          </w:tcPr>
          <w:p w14:paraId="46EC9517" w14:textId="2D324D27"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Produce reporting on volumes and themes of demand across DP and Access to information requests, promoting transparency of data with services improving compliance with legislation</w:t>
            </w:r>
          </w:p>
        </w:tc>
      </w:tr>
      <w:tr w:rsidR="00A3371F" w14:paraId="4EB7ECAB" w14:textId="77777777" w:rsidTr="009A58DA">
        <w:tc>
          <w:tcPr>
            <w:tcW w:w="456" w:type="dxa"/>
          </w:tcPr>
          <w:p w14:paraId="2AC8467D" w14:textId="04325E6B" w:rsidR="00A3371F" w:rsidRPr="00A3371F" w:rsidRDefault="00A3371F" w:rsidP="00A3371F">
            <w:pPr>
              <w:spacing w:after="0" w:line="240" w:lineRule="auto"/>
              <w:ind w:right="118"/>
              <w:rPr>
                <w:rFonts w:ascii="Calibri" w:hAnsi="Calibri" w:cs="Calibri"/>
                <w:b/>
                <w:bCs/>
                <w:sz w:val="24"/>
                <w:szCs w:val="24"/>
              </w:rPr>
            </w:pPr>
            <w:r w:rsidRPr="00A3371F">
              <w:rPr>
                <w:rFonts w:ascii="Calibri" w:hAnsi="Calibri" w:cs="Calibri"/>
                <w:b/>
                <w:bCs/>
                <w:sz w:val="24"/>
                <w:szCs w:val="24"/>
              </w:rPr>
              <w:t>8</w:t>
            </w:r>
          </w:p>
        </w:tc>
        <w:tc>
          <w:tcPr>
            <w:tcW w:w="9072" w:type="dxa"/>
          </w:tcPr>
          <w:p w14:paraId="6044E953" w14:textId="544D6E8C" w:rsidR="00A3371F" w:rsidRPr="00A3371F" w:rsidRDefault="00A3371F" w:rsidP="00A3371F">
            <w:pPr>
              <w:spacing w:after="0" w:line="240" w:lineRule="auto"/>
              <w:ind w:right="118"/>
              <w:rPr>
                <w:rFonts w:ascii="Calibri" w:hAnsi="Calibri" w:cs="Calibri"/>
                <w:sz w:val="24"/>
                <w:szCs w:val="24"/>
              </w:rPr>
            </w:pPr>
            <w:r w:rsidRPr="00A3371F">
              <w:rPr>
                <w:rFonts w:ascii="Calibri" w:hAnsi="Calibri" w:cs="Calibri"/>
                <w:sz w:val="24"/>
                <w:szCs w:val="24"/>
              </w:rPr>
              <w:t xml:space="preserve">Liaise with police forces to provide access to records related to investigations upon </w:t>
            </w:r>
            <w:proofErr w:type="gramStart"/>
            <w:r w:rsidRPr="00A3371F">
              <w:rPr>
                <w:rFonts w:ascii="Calibri" w:hAnsi="Calibri" w:cs="Calibri"/>
                <w:sz w:val="24"/>
                <w:szCs w:val="24"/>
              </w:rPr>
              <w:t>requests  Collating</w:t>
            </w:r>
            <w:proofErr w:type="gramEnd"/>
            <w:r w:rsidRPr="00A3371F">
              <w:rPr>
                <w:rFonts w:ascii="Calibri" w:hAnsi="Calibri" w:cs="Calibri"/>
                <w:sz w:val="24"/>
                <w:szCs w:val="24"/>
              </w:rPr>
              <w:t xml:space="preserve"> and preparing files for police inspection  and finalising disclosures for judicial process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1327709E" w:rsidR="00C577BE" w:rsidRDefault="00A3371F" w:rsidP="00C577BE">
            <w:pPr>
              <w:spacing w:after="0" w:line="240" w:lineRule="auto"/>
              <w:ind w:right="118"/>
              <w:rPr>
                <w:sz w:val="24"/>
                <w:szCs w:val="24"/>
              </w:rPr>
            </w:pPr>
            <w:r>
              <w:rPr>
                <w:rFonts w:ascii="Arial" w:hAnsi="Arial" w:cs="Arial"/>
                <w:color w:val="000000"/>
              </w:rPr>
              <w:t xml:space="preserve">Education qualified to A </w:t>
            </w:r>
            <w:r>
              <w:rPr>
                <w:rFonts w:ascii="Arial" w:hAnsi="Arial" w:cs="Arial"/>
                <w:color w:val="000000"/>
              </w:rPr>
              <w:t>level. Experience</w:t>
            </w:r>
            <w:r>
              <w:rPr>
                <w:rFonts w:ascii="Arial" w:hAnsi="Arial" w:cs="Arial"/>
                <w:color w:val="000000"/>
              </w:rPr>
              <w:t xml:space="preserve"> of working in a professional environment, demonstrable</w:t>
            </w:r>
            <w:r w:rsidRPr="0046585D">
              <w:rPr>
                <w:rFonts w:ascii="Arial" w:hAnsi="Arial" w:cs="Arial"/>
                <w:color w:val="000000"/>
              </w:rPr>
              <w:t xml:space="preserve"> problem solving and analytical skills. Ability to deal with a demanding workload and to prioritise accordingly. Ability to work on own initiative and as a member of a team</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15E6281" w:rsidR="00C577BE" w:rsidRPr="00A3371F" w:rsidRDefault="00A3371F" w:rsidP="00A3371F">
            <w:pPr>
              <w:rPr>
                <w:rFonts w:ascii="Arial" w:hAnsi="Arial" w:cs="Arial"/>
                <w:color w:val="000000"/>
              </w:rPr>
            </w:pPr>
            <w:r>
              <w:rPr>
                <w:rFonts w:ascii="Arial" w:hAnsi="Arial" w:cs="Arial"/>
                <w:color w:val="000000"/>
              </w:rPr>
              <w:t>Able to d</w:t>
            </w:r>
            <w:r w:rsidRPr="00B10C06">
              <w:rPr>
                <w:rFonts w:ascii="Arial" w:hAnsi="Arial" w:cs="Arial"/>
                <w:color w:val="000000"/>
              </w:rPr>
              <w:t xml:space="preserve">emonstrate knowledge of the Freedom of Information Act, </w:t>
            </w:r>
            <w:r>
              <w:rPr>
                <w:rFonts w:ascii="Arial" w:hAnsi="Arial" w:cs="Arial"/>
                <w:color w:val="000000"/>
              </w:rPr>
              <w:t xml:space="preserve">Environmental Information regulations, </w:t>
            </w:r>
            <w:r w:rsidRPr="00B10C06">
              <w:rPr>
                <w:rFonts w:ascii="Arial" w:hAnsi="Arial" w:cs="Arial"/>
                <w:color w:val="000000"/>
              </w:rPr>
              <w:t>Data Protection Act</w:t>
            </w:r>
            <w:r>
              <w:rPr>
                <w:rFonts w:ascii="Arial" w:hAnsi="Arial" w:cs="Arial"/>
                <w:color w:val="000000"/>
              </w:rPr>
              <w:t xml:space="preserve"> and the sensitivity of data and the required limitations on disclosure </w:t>
            </w:r>
            <w:r w:rsidRPr="0046585D">
              <w:rPr>
                <w:rFonts w:ascii="Arial" w:hAnsi="Arial" w:cs="Arial"/>
                <w:color w:val="000000"/>
              </w:rPr>
              <w:t>Handle sensitive data, ensuring confidentiality and adherence to legal frameworks.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240EDC8" w:rsidR="00C577BE" w:rsidRDefault="00A3371F" w:rsidP="00C577BE">
            <w:pPr>
              <w:spacing w:after="0" w:line="240" w:lineRule="auto"/>
              <w:ind w:right="118"/>
              <w:rPr>
                <w:sz w:val="24"/>
                <w:szCs w:val="24"/>
              </w:rPr>
            </w:pPr>
            <w:r w:rsidRPr="0046585D">
              <w:rPr>
                <w:rFonts w:ascii="Arial" w:hAnsi="Arial" w:cs="Arial"/>
                <w:color w:val="000000"/>
              </w:rPr>
              <w:t xml:space="preserve">Excellent interpersonal skills with people at all levels </w:t>
            </w:r>
            <w:r>
              <w:rPr>
                <w:rFonts w:ascii="Arial" w:hAnsi="Arial" w:cs="Arial"/>
                <w:color w:val="000000"/>
              </w:rPr>
              <w:t xml:space="preserve">and ability to communicate complex principles in a way that is manageable that can be easily understood. </w:t>
            </w:r>
            <w:r w:rsidRPr="0046585D">
              <w:rPr>
                <w:rFonts w:ascii="Arial" w:hAnsi="Arial" w:cs="Arial"/>
                <w:color w:val="000000"/>
              </w:rPr>
              <w:t xml:space="preserve">High standard of literacy and effective written communication skills for writing letters, </w:t>
            </w:r>
            <w:r w:rsidRPr="0046585D">
              <w:rPr>
                <w:rFonts w:ascii="Arial" w:hAnsi="Arial" w:cs="Arial"/>
                <w:color w:val="000000"/>
              </w:rPr>
              <w:t>reports,</w:t>
            </w:r>
            <w:r w:rsidRPr="0046585D">
              <w:rPr>
                <w:rFonts w:ascii="Arial" w:hAnsi="Arial" w:cs="Arial"/>
                <w:color w:val="000000"/>
              </w:rPr>
              <w:t xml:space="preserve"> and meeting notes.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732ADD5" w:rsidR="00C577BE" w:rsidRDefault="00A3371F" w:rsidP="00C577BE">
            <w:pPr>
              <w:spacing w:after="0" w:line="240" w:lineRule="auto"/>
              <w:ind w:right="118"/>
              <w:rPr>
                <w:sz w:val="24"/>
                <w:szCs w:val="24"/>
              </w:rPr>
            </w:pPr>
            <w:r w:rsidRPr="0046585D">
              <w:rPr>
                <w:rFonts w:ascii="Arial" w:hAnsi="Arial" w:cs="Arial"/>
                <w:color w:val="000000"/>
              </w:rPr>
              <w:t xml:space="preserve">Ability to use standard office IT packages </w:t>
            </w:r>
            <w:r>
              <w:rPr>
                <w:rFonts w:ascii="Arial" w:hAnsi="Arial" w:cs="Arial"/>
                <w:color w:val="000000"/>
              </w:rPr>
              <w:t xml:space="preserve">and other </w:t>
            </w:r>
            <w:r>
              <w:rPr>
                <w:rFonts w:ascii="Arial" w:hAnsi="Arial" w:cs="Arial"/>
                <w:color w:val="000000"/>
              </w:rPr>
              <w:t>role-based</w:t>
            </w:r>
            <w:r>
              <w:rPr>
                <w:rFonts w:ascii="Arial" w:hAnsi="Arial" w:cs="Arial"/>
                <w:color w:val="000000"/>
              </w:rPr>
              <w:t xml:space="preserve"> tools.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3371F"/>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BD224E3-7FBE-42A1-9335-F1844A57F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2025-04-07T08:15:00Z</dcterms:created>
  <dcterms:modified xsi:type="dcterms:W3CDTF">2025-04-07T08:15:00Z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_SourceUrl">
    <vt:lpwstr/>
  </property>
  <property fmtid="{D5CDD505-2E9C-101B-9397-08002B2CF9AE}" pid="20" name="_SharedFileIndex">
    <vt:lpwstr/>
  </property>
  <property fmtid="{D5CDD505-2E9C-101B-9397-08002B2CF9AE}" pid="21" name="MSIP_Label_e7fc5025-71e8-47b2-88b0-8b1bfc9bc800_Enabled">
    <vt:lpwstr>True</vt:lpwstr>
  </property>
  <property fmtid="{D5CDD505-2E9C-101B-9397-08002B2CF9AE}" pid="22" name="MSIP_Label_e7fc5025-71e8-47b2-88b0-8b1bfc9bc800_SiteId">
    <vt:lpwstr>d508f700-8ad2-4677-8f96-36e1c252fa76</vt:lpwstr>
  </property>
  <property fmtid="{D5CDD505-2E9C-101B-9397-08002B2CF9AE}" pid="23" name="MSIP_Label_e7fc5025-71e8-47b2-88b0-8b1bfc9bc800_SetDate">
    <vt:lpwstr>2024-08-07T15:09:08Z</vt:lpwstr>
  </property>
  <property fmtid="{D5CDD505-2E9C-101B-9397-08002B2CF9AE}" pid="24" name="MSIP_Label_e7fc5025-71e8-47b2-88b0-8b1bfc9bc800_Name">
    <vt:lpwstr>Public</vt:lpwstr>
  </property>
  <property fmtid="{D5CDD505-2E9C-101B-9397-08002B2CF9AE}" pid="25" name="MSIP_Label_e7fc5025-71e8-47b2-88b0-8b1bfc9bc800_ActionId">
    <vt:lpwstr>b596d3d1-2f0c-4e15-8049-211b90595573</vt:lpwstr>
  </property>
  <property fmtid="{D5CDD505-2E9C-101B-9397-08002B2CF9AE}" pid="26" name="MSIP_Label_e7fc5025-71e8-47b2-88b0-8b1bfc9bc800_Removed">
    <vt:lpwstr>False</vt:lpwstr>
  </property>
  <property fmtid="{D5CDD505-2E9C-101B-9397-08002B2CF9AE}" pid="27" name="MSIP_Label_e7fc5025-71e8-47b2-88b0-8b1bfc9bc800_Extended_MSFT_Method">
    <vt:lpwstr>Standard</vt:lpwstr>
  </property>
  <property fmtid="{D5CDD505-2E9C-101B-9397-08002B2CF9AE}" pid="28" name="Sensitivity">
    <vt:lpwstr>Public</vt:lpwstr>
  </property>
</Properties>
</file>