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51E443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A398325">
                <wp:simplePos x="0" y="0"/>
                <wp:positionH relativeFrom="margin">
                  <wp:posOffset>-247650</wp:posOffset>
                </wp:positionH>
                <wp:positionV relativeFrom="paragraph">
                  <wp:posOffset>-97157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6670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66700"/>
                            <a:ext cx="7181850" cy="1471930"/>
                          </a:xfrm>
                          <a:prstGeom prst="rect">
                            <a:avLst/>
                          </a:prstGeom>
                          <a:noFill/>
                          <a:ln>
                            <a:noFill/>
                          </a:ln>
                        </pic:spPr>
                      </pic:pic>
                      <wps:wsp>
                        <wps:cNvPr id="9" name="TextBox 6"/>
                        <wps:cNvSpPr txBox="1"/>
                        <wps:spPr>
                          <a:xfrm>
                            <a:off x="371475" y="325757"/>
                            <a:ext cx="4667250" cy="1161415"/>
                          </a:xfrm>
                          <a:prstGeom prst="rect">
                            <a:avLst/>
                          </a:prstGeom>
                          <a:noFill/>
                        </wps:spPr>
                        <wps:txbx>
                          <w:txbxContent>
                            <w:p w14:paraId="0F7362EB" w14:textId="77777777" w:rsidR="00843E39" w:rsidRDefault="00897BC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Financial Accountant </w:t>
                              </w:r>
                              <w:r w:rsidR="00843E39">
                                <w:rPr>
                                  <w:rFonts w:hAnsi="Calibri"/>
                                  <w:color w:val="FFFFFF" w:themeColor="background1"/>
                                  <w:kern w:val="24"/>
                                  <w:sz w:val="52"/>
                                  <w:szCs w:val="52"/>
                                </w:rPr>
                                <w:t>(Financial</w:t>
                              </w:r>
                              <w:r>
                                <w:rPr>
                                  <w:rFonts w:hAnsi="Calibri"/>
                                  <w:color w:val="FFFFFF" w:themeColor="background1"/>
                                  <w:kern w:val="24"/>
                                  <w:sz w:val="52"/>
                                  <w:szCs w:val="52"/>
                                </w:rPr>
                                <w:t xml:space="preserve"> Planning &amp; Reporting</w:t>
                              </w:r>
                            </w:p>
                            <w:p w14:paraId="64661BA3" w14:textId="10E73532" w:rsidR="00251D49" w:rsidRPr="00251D49" w:rsidRDefault="00473C96"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 </w:t>
                              </w:r>
                              <w:r w:rsidR="00251D49" w:rsidRPr="00251D49">
                                <w:rPr>
                                  <w:rFonts w:hAnsi="Calibri"/>
                                  <w:color w:val="FFFFFF" w:themeColor="background1"/>
                                  <w:kern w:val="24"/>
                                  <w:sz w:val="28"/>
                                  <w:szCs w:val="28"/>
                                </w:rPr>
                                <w:t>JE Code:</w:t>
                              </w:r>
                              <w:r w:rsidR="006E3E0E">
                                <w:rPr>
                                  <w:rFonts w:hAnsi="Calibri"/>
                                  <w:color w:val="FFFFFF" w:themeColor="background1"/>
                                  <w:kern w:val="24"/>
                                  <w:sz w:val="28"/>
                                  <w:szCs w:val="28"/>
                                </w:rPr>
                                <w:t xml:space="preserve"> JE</w:t>
                              </w:r>
                              <w:r w:rsidR="008424FB">
                                <w:rPr>
                                  <w:rFonts w:hAnsi="Calibri"/>
                                  <w:color w:val="FFFFFF" w:themeColor="background1"/>
                                  <w:kern w:val="24"/>
                                  <w:sz w:val="28"/>
                                  <w:szCs w:val="28"/>
                                </w:rPr>
                                <w:t>2481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19.5pt;margin-top:-7.65pt;width:565.5pt;height:115.9pt;z-index:251661312;mso-position-horizontal-relative:margin;mso-height-relative:margin" coordorigin="95,2667"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667;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3714;top:3257;width:46673;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F7362EB" w14:textId="77777777" w:rsidR="00843E39" w:rsidRDefault="00897BC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Financial Accountant </w:t>
                        </w:r>
                        <w:r w:rsidR="00843E39">
                          <w:rPr>
                            <w:rFonts w:hAnsi="Calibri"/>
                            <w:color w:val="FFFFFF" w:themeColor="background1"/>
                            <w:kern w:val="24"/>
                            <w:sz w:val="52"/>
                            <w:szCs w:val="52"/>
                          </w:rPr>
                          <w:t>(Financial</w:t>
                        </w:r>
                        <w:r>
                          <w:rPr>
                            <w:rFonts w:hAnsi="Calibri"/>
                            <w:color w:val="FFFFFF" w:themeColor="background1"/>
                            <w:kern w:val="24"/>
                            <w:sz w:val="52"/>
                            <w:szCs w:val="52"/>
                          </w:rPr>
                          <w:t xml:space="preserve"> Planning &amp; Reporting</w:t>
                        </w:r>
                      </w:p>
                      <w:p w14:paraId="64661BA3" w14:textId="10E73532" w:rsidR="00251D49" w:rsidRPr="00251D49" w:rsidRDefault="00473C96" w:rsidP="00D72A65">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 </w:t>
                        </w:r>
                        <w:r w:rsidR="00251D49" w:rsidRPr="00251D49">
                          <w:rPr>
                            <w:rFonts w:hAnsi="Calibri"/>
                            <w:color w:val="FFFFFF" w:themeColor="background1"/>
                            <w:kern w:val="24"/>
                            <w:sz w:val="28"/>
                            <w:szCs w:val="28"/>
                          </w:rPr>
                          <w:t>JE Code:</w:t>
                        </w:r>
                        <w:r w:rsidR="006E3E0E">
                          <w:rPr>
                            <w:rFonts w:hAnsi="Calibri"/>
                            <w:color w:val="FFFFFF" w:themeColor="background1"/>
                            <w:kern w:val="24"/>
                            <w:sz w:val="28"/>
                            <w:szCs w:val="28"/>
                          </w:rPr>
                          <w:t xml:space="preserve"> JE</w:t>
                        </w:r>
                        <w:r w:rsidR="008424FB">
                          <w:rPr>
                            <w:rFonts w:hAnsi="Calibri"/>
                            <w:color w:val="FFFFFF" w:themeColor="background1"/>
                            <w:kern w:val="24"/>
                            <w:sz w:val="28"/>
                            <w:szCs w:val="28"/>
                          </w:rPr>
                          <w:t>2481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76E30A1">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22B742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843E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5892D4B9" w:rsidR="00D72A65" w:rsidRPr="001C2894" w:rsidRDefault="00897BC2">
            <w:pPr>
              <w:rPr>
                <w:rFonts w:cstheme="minorHAnsi"/>
                <w:color w:val="000000" w:themeColor="text1"/>
              </w:rPr>
            </w:pPr>
            <w:r>
              <w:rPr>
                <w:rFonts w:cstheme="minorHAnsi"/>
                <w:color w:val="000000" w:themeColor="text1"/>
              </w:rPr>
              <w:t>Professional 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3F79AB8" w:rsidR="00D72A65" w:rsidRPr="001C2894" w:rsidRDefault="00897BC2">
            <w:pPr>
              <w:rPr>
                <w:rFonts w:cstheme="minorHAnsi"/>
                <w:color w:val="000000" w:themeColor="text1"/>
              </w:rPr>
            </w:pPr>
            <w:r>
              <w:rPr>
                <w:rFonts w:cstheme="minorHAnsi"/>
                <w:color w:val="000000" w:themeColor="text1"/>
              </w:rPr>
              <w:t>Senior Finance Manager (Corporate Accounting)</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1CF752B2" w:rsidR="000F04CA" w:rsidRPr="001C2894" w:rsidRDefault="00897BC2"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572C45F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009D6F0" w:rsidR="00251D49" w:rsidRDefault="00412C33"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D468761" w:rsidR="001C2894" w:rsidRDefault="00F312A8" w:rsidP="00D72A65">
            <w:pPr>
              <w:rPr>
                <w:rFonts w:cstheme="minorHAnsi"/>
                <w:b/>
                <w:bCs/>
                <w:color w:val="000000" w:themeColor="text1"/>
              </w:rPr>
            </w:pPr>
            <w:r>
              <w:t>The role will a</w:t>
            </w:r>
            <w:r w:rsidR="00E05C9E" w:rsidRPr="00843E39">
              <w:t>ssist with the production of the MTFP</w:t>
            </w:r>
            <w:r>
              <w:t xml:space="preserve"> </w:t>
            </w:r>
            <w:r w:rsidR="00C37FFC" w:rsidRPr="00843E39">
              <w:t>and reporting</w:t>
            </w:r>
            <w:r w:rsidR="00E05C9E" w:rsidRPr="00843E39">
              <w:t xml:space="preserve">. </w:t>
            </w:r>
            <w:r>
              <w:t>It</w:t>
            </w:r>
            <w:r w:rsidR="00E05C9E" w:rsidRPr="00843E39">
              <w:t xml:space="preserve"> will be responsible for co-</w:t>
            </w:r>
            <w:r w:rsidR="005B5EFF" w:rsidRPr="00843E39">
              <w:t>ordinating finance</w:t>
            </w:r>
            <w:r w:rsidR="00E05C9E" w:rsidRPr="00843E39">
              <w:t xml:space="preserve"> teams on the preparation of </w:t>
            </w:r>
            <w:r w:rsidR="00C37FFC" w:rsidRPr="00843E39">
              <w:t xml:space="preserve">fees and charges schedules, </w:t>
            </w:r>
            <w:r w:rsidR="005A486D" w:rsidRPr="00843E39">
              <w:t xml:space="preserve">modelling the impact of </w:t>
            </w:r>
            <w:r w:rsidR="0065147F">
              <w:t xml:space="preserve">budget </w:t>
            </w:r>
            <w:r w:rsidR="00F25B6E">
              <w:t xml:space="preserve">decisions </w:t>
            </w:r>
            <w:r w:rsidR="001E54AB">
              <w:t>e.g.,</w:t>
            </w:r>
            <w:r w:rsidR="00F25B6E">
              <w:t xml:space="preserve"> </w:t>
            </w:r>
            <w:r w:rsidR="005A486D" w:rsidRPr="00843E39">
              <w:t>salary</w:t>
            </w:r>
            <w:r w:rsidRPr="00843E39">
              <w:t xml:space="preserve"> and pension </w:t>
            </w:r>
            <w:r w:rsidR="005A486D" w:rsidRPr="00843E39">
              <w:t>increases,</w:t>
            </w:r>
            <w:r w:rsidRPr="00843E39">
              <w:t xml:space="preserve"> </w:t>
            </w:r>
            <w:r w:rsidR="00CA63F3">
              <w:t xml:space="preserve">tracking the use of corporate budgets and </w:t>
            </w:r>
            <w:r w:rsidR="001E54AB">
              <w:t>one-off</w:t>
            </w:r>
            <w:r w:rsidR="00DA3210">
              <w:t xml:space="preserve"> funding.</w:t>
            </w:r>
          </w:p>
        </w:tc>
      </w:tr>
      <w:tr w:rsidR="00010508" w14:paraId="3FE83EC9" w14:textId="77777777" w:rsidTr="001C2894">
        <w:tc>
          <w:tcPr>
            <w:tcW w:w="562" w:type="dxa"/>
          </w:tcPr>
          <w:p w14:paraId="4DB3D8B1" w14:textId="0C243E34" w:rsidR="00010508" w:rsidRDefault="00010508" w:rsidP="00010508">
            <w:pPr>
              <w:rPr>
                <w:rFonts w:cstheme="minorHAnsi"/>
                <w:b/>
                <w:bCs/>
                <w:color w:val="000000" w:themeColor="text1"/>
              </w:rPr>
            </w:pPr>
            <w:r>
              <w:rPr>
                <w:rFonts w:cstheme="minorHAnsi"/>
                <w:b/>
                <w:bCs/>
                <w:color w:val="000000" w:themeColor="text1"/>
              </w:rPr>
              <w:t>2.</w:t>
            </w:r>
          </w:p>
        </w:tc>
        <w:tc>
          <w:tcPr>
            <w:tcW w:w="9894" w:type="dxa"/>
          </w:tcPr>
          <w:p w14:paraId="078CCEDA" w14:textId="79DA967A" w:rsidR="00010508" w:rsidRPr="00843E39" w:rsidRDefault="00010508" w:rsidP="00010508">
            <w:r w:rsidRPr="00D10A25">
              <w:t xml:space="preserve">The role will assist the </w:t>
            </w:r>
            <w:r>
              <w:t xml:space="preserve">Senior Finance </w:t>
            </w:r>
            <w:r w:rsidRPr="00D10A25">
              <w:t>Manager in the preparation</w:t>
            </w:r>
            <w:r>
              <w:t xml:space="preserve"> and reporting of</w:t>
            </w:r>
            <w:r w:rsidRPr="00D10A25">
              <w:t xml:space="preserve"> amendments to the Capital Programme</w:t>
            </w:r>
            <w:r w:rsidR="00F312A8">
              <w:t xml:space="preserve">, including working </w:t>
            </w:r>
            <w:r w:rsidR="00F312A8" w:rsidRPr="00F312A8">
              <w:t>with Tariff Manager on preparation of the Tariff Programme for the annual budget process, ensuring the Tariff programme is aligned to the Capital Programme and its financing</w:t>
            </w:r>
            <w:r w:rsidR="001E54AB">
              <w:t>.</w:t>
            </w:r>
          </w:p>
        </w:tc>
      </w:tr>
      <w:tr w:rsidR="00010508" w14:paraId="35DEEE55" w14:textId="77777777" w:rsidTr="001C2894">
        <w:tc>
          <w:tcPr>
            <w:tcW w:w="562" w:type="dxa"/>
          </w:tcPr>
          <w:p w14:paraId="4BBD8AB2" w14:textId="080860FF" w:rsidR="00010508" w:rsidRDefault="00010508" w:rsidP="00010508">
            <w:pPr>
              <w:rPr>
                <w:rFonts w:cstheme="minorHAnsi"/>
                <w:b/>
                <w:bCs/>
                <w:color w:val="000000" w:themeColor="text1"/>
              </w:rPr>
            </w:pPr>
            <w:r>
              <w:rPr>
                <w:rFonts w:cstheme="minorHAnsi"/>
                <w:b/>
                <w:bCs/>
                <w:color w:val="000000" w:themeColor="text1"/>
              </w:rPr>
              <w:t>3.</w:t>
            </w:r>
          </w:p>
        </w:tc>
        <w:tc>
          <w:tcPr>
            <w:tcW w:w="9894" w:type="dxa"/>
          </w:tcPr>
          <w:p w14:paraId="417EBB29" w14:textId="48BBC5BE" w:rsidR="00010508" w:rsidRPr="00843E39" w:rsidRDefault="00F312A8" w:rsidP="00010508">
            <w:r w:rsidRPr="00F312A8">
              <w:t>The role will coordinate with the finance teams to prepare the consolidated monthly revenue and capital monitoring position</w:t>
            </w:r>
            <w:r w:rsidR="00F25B6E">
              <w:t xml:space="preserve"> to both senior management and Cabinet</w:t>
            </w:r>
            <w:r w:rsidRPr="00F312A8">
              <w:t xml:space="preserve">, </w:t>
            </w:r>
            <w:r w:rsidR="00F25B6E">
              <w:t xml:space="preserve">including </w:t>
            </w:r>
            <w:r w:rsidR="00DA3210">
              <w:t xml:space="preserve">draw down and </w:t>
            </w:r>
            <w:r w:rsidRPr="00F312A8">
              <w:t>review of reserves and balance sheet positions.</w:t>
            </w:r>
          </w:p>
        </w:tc>
      </w:tr>
      <w:tr w:rsidR="00010508" w14:paraId="699941E4" w14:textId="77777777" w:rsidTr="001C2894">
        <w:tc>
          <w:tcPr>
            <w:tcW w:w="562" w:type="dxa"/>
          </w:tcPr>
          <w:p w14:paraId="446A15EF" w14:textId="2A633954" w:rsidR="00010508" w:rsidRDefault="00010508" w:rsidP="00010508">
            <w:pPr>
              <w:rPr>
                <w:rFonts w:cstheme="minorHAnsi"/>
                <w:b/>
                <w:bCs/>
                <w:color w:val="000000" w:themeColor="text1"/>
              </w:rPr>
            </w:pPr>
            <w:r>
              <w:rPr>
                <w:rFonts w:cstheme="minorHAnsi"/>
                <w:b/>
                <w:bCs/>
                <w:color w:val="000000" w:themeColor="text1"/>
              </w:rPr>
              <w:t>4.</w:t>
            </w:r>
          </w:p>
        </w:tc>
        <w:tc>
          <w:tcPr>
            <w:tcW w:w="9894" w:type="dxa"/>
          </w:tcPr>
          <w:p w14:paraId="34D8509C" w14:textId="51CBB25E" w:rsidR="00010508" w:rsidRPr="00843E39" w:rsidRDefault="00BA725D" w:rsidP="00010508">
            <w:r w:rsidRPr="00BA725D">
              <w:t xml:space="preserve">The role will ensure accurate submission of grant returns and claims, ensuring evidence and working papers are accurate and clear. The role will be responsible for the completion </w:t>
            </w:r>
            <w:r w:rsidR="00CE0B10">
              <w:t>RA</w:t>
            </w:r>
            <w:r w:rsidRPr="00BA725D">
              <w:t xml:space="preserve"> Statutory return, ensuring variations are explained</w:t>
            </w:r>
            <w:r w:rsidR="00CE0B10">
              <w:t>, production of the budget book and council tax leaflet</w:t>
            </w:r>
            <w:r w:rsidR="001E54AB">
              <w:t>.</w:t>
            </w:r>
          </w:p>
        </w:tc>
      </w:tr>
      <w:tr w:rsidR="00010508" w14:paraId="3B1300D7" w14:textId="77777777" w:rsidTr="001C2894">
        <w:tc>
          <w:tcPr>
            <w:tcW w:w="562" w:type="dxa"/>
          </w:tcPr>
          <w:p w14:paraId="3781C423" w14:textId="45F593C5" w:rsidR="00010508" w:rsidRDefault="00010508" w:rsidP="00010508">
            <w:pPr>
              <w:rPr>
                <w:rFonts w:cstheme="minorHAnsi"/>
                <w:b/>
                <w:bCs/>
                <w:color w:val="000000" w:themeColor="text1"/>
              </w:rPr>
            </w:pPr>
            <w:r>
              <w:rPr>
                <w:rFonts w:cstheme="minorHAnsi"/>
                <w:b/>
                <w:bCs/>
                <w:color w:val="000000" w:themeColor="text1"/>
              </w:rPr>
              <w:t>5.</w:t>
            </w:r>
          </w:p>
        </w:tc>
        <w:tc>
          <w:tcPr>
            <w:tcW w:w="9894" w:type="dxa"/>
          </w:tcPr>
          <w:p w14:paraId="084E334F" w14:textId="5C66D53C" w:rsidR="00010508" w:rsidRPr="00843E39" w:rsidRDefault="002D25F4" w:rsidP="00010508">
            <w:r w:rsidRPr="00843E39">
              <w:t xml:space="preserve">The role will assist in the production of key financial statements and notes to the </w:t>
            </w:r>
            <w:r w:rsidR="001E54AB" w:rsidRPr="00843E39">
              <w:t>accounts and</w:t>
            </w:r>
            <w:r w:rsidRPr="00843E39">
              <w:t xml:space="preserve"> respond to audit queries as required. The role will include preparation of journals, virements and accruals (as appropriate), ensuring that these are supported with robust working papers and are only processed where essential to maintain the integrity of the accounts.</w:t>
            </w:r>
          </w:p>
        </w:tc>
      </w:tr>
      <w:tr w:rsidR="00010508" w14:paraId="58126D46" w14:textId="77777777" w:rsidTr="001C2894">
        <w:tc>
          <w:tcPr>
            <w:tcW w:w="562" w:type="dxa"/>
          </w:tcPr>
          <w:p w14:paraId="63141936" w14:textId="2D458632" w:rsidR="00010508" w:rsidRDefault="00010508" w:rsidP="00010508">
            <w:pPr>
              <w:rPr>
                <w:rFonts w:cstheme="minorHAnsi"/>
                <w:b/>
                <w:bCs/>
                <w:color w:val="000000" w:themeColor="text1"/>
              </w:rPr>
            </w:pPr>
            <w:r>
              <w:rPr>
                <w:rFonts w:cstheme="minorHAnsi"/>
                <w:b/>
                <w:bCs/>
                <w:color w:val="000000" w:themeColor="text1"/>
              </w:rPr>
              <w:t>6.</w:t>
            </w:r>
          </w:p>
        </w:tc>
        <w:tc>
          <w:tcPr>
            <w:tcW w:w="9894" w:type="dxa"/>
          </w:tcPr>
          <w:p w14:paraId="1518160B" w14:textId="17E79E3F" w:rsidR="00010508" w:rsidRPr="00843E39" w:rsidRDefault="002F32DA" w:rsidP="00010508">
            <w:r w:rsidRPr="00843E39">
              <w:t>Ensure compliance of services with Financial Regulations (scheme of delegation, procurement thresholds etc.) and look to improve how we share information on good financial management (such as the content and accessibility of the finance intranet site).  Provide positive assurance looking to promptly evidence or escalate issues.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F63B06" w14:paraId="4121B0CF" w14:textId="77777777" w:rsidTr="00892352">
        <w:tc>
          <w:tcPr>
            <w:tcW w:w="562" w:type="dxa"/>
          </w:tcPr>
          <w:p w14:paraId="08782BF4" w14:textId="77777777" w:rsidR="00F63B06" w:rsidRDefault="00F63B06" w:rsidP="00F63B06">
            <w:pPr>
              <w:rPr>
                <w:rFonts w:cstheme="minorHAnsi"/>
                <w:b/>
                <w:bCs/>
                <w:color w:val="000000" w:themeColor="text1"/>
              </w:rPr>
            </w:pPr>
            <w:r>
              <w:rPr>
                <w:rFonts w:cstheme="minorHAnsi"/>
                <w:b/>
                <w:bCs/>
                <w:color w:val="000000" w:themeColor="text1"/>
              </w:rPr>
              <w:t>1.</w:t>
            </w:r>
          </w:p>
        </w:tc>
        <w:tc>
          <w:tcPr>
            <w:tcW w:w="9894" w:type="dxa"/>
          </w:tcPr>
          <w:p w14:paraId="053AF04F" w14:textId="2BAE87F7" w:rsidR="00F63B06" w:rsidRDefault="00F63B06" w:rsidP="00F63B06">
            <w:pPr>
              <w:rPr>
                <w:rFonts w:cstheme="minorHAnsi"/>
                <w:b/>
                <w:bCs/>
                <w:color w:val="000000" w:themeColor="text1"/>
              </w:rPr>
            </w:pPr>
            <w:r w:rsidRPr="003828C6">
              <w:t>Qualified accountant (CCAB) together with detailed knowledge of CIPFA code of practice</w:t>
            </w:r>
            <w:r w:rsidR="00F1572F">
              <w:t xml:space="preserve"> </w:t>
            </w:r>
            <w:r w:rsidR="00F1572F" w:rsidRPr="00F1572F">
              <w:t>and a strong financial accounting background</w:t>
            </w:r>
            <w:r w:rsidR="001E54AB">
              <w:t>.</w:t>
            </w:r>
          </w:p>
        </w:tc>
      </w:tr>
      <w:tr w:rsidR="00F63B06" w14:paraId="681CDD22" w14:textId="77777777" w:rsidTr="00892352">
        <w:tc>
          <w:tcPr>
            <w:tcW w:w="562" w:type="dxa"/>
          </w:tcPr>
          <w:p w14:paraId="4488D22F" w14:textId="77777777" w:rsidR="00F63B06" w:rsidRDefault="00F63B06" w:rsidP="00F63B06">
            <w:pPr>
              <w:rPr>
                <w:rFonts w:cstheme="minorHAnsi"/>
                <w:b/>
                <w:bCs/>
                <w:color w:val="000000" w:themeColor="text1"/>
              </w:rPr>
            </w:pPr>
            <w:r>
              <w:rPr>
                <w:rFonts w:cstheme="minorHAnsi"/>
                <w:b/>
                <w:bCs/>
                <w:color w:val="000000" w:themeColor="text1"/>
              </w:rPr>
              <w:t>2.</w:t>
            </w:r>
          </w:p>
        </w:tc>
        <w:tc>
          <w:tcPr>
            <w:tcW w:w="9894" w:type="dxa"/>
          </w:tcPr>
          <w:p w14:paraId="4FF43EDF" w14:textId="2BC59075" w:rsidR="00F63B06" w:rsidRDefault="00F63B06" w:rsidP="00F63B06">
            <w:pPr>
              <w:rPr>
                <w:rFonts w:cstheme="minorHAnsi"/>
                <w:b/>
                <w:bCs/>
                <w:color w:val="000000" w:themeColor="text1"/>
              </w:rPr>
            </w:pPr>
            <w:r w:rsidRPr="003828C6">
              <w:t>Excellent spreadsheet skills and ability to undertake complex financial calculations using different data sets.</w:t>
            </w:r>
          </w:p>
        </w:tc>
      </w:tr>
      <w:tr w:rsidR="00F63B06" w14:paraId="6BA1F355" w14:textId="77777777" w:rsidTr="00892352">
        <w:tc>
          <w:tcPr>
            <w:tcW w:w="562" w:type="dxa"/>
          </w:tcPr>
          <w:p w14:paraId="365C3F50" w14:textId="77777777" w:rsidR="00F63B06" w:rsidRDefault="00F63B06" w:rsidP="00F63B06">
            <w:pPr>
              <w:rPr>
                <w:rFonts w:cstheme="minorHAnsi"/>
                <w:b/>
                <w:bCs/>
                <w:color w:val="000000" w:themeColor="text1"/>
              </w:rPr>
            </w:pPr>
            <w:r>
              <w:rPr>
                <w:rFonts w:cstheme="minorHAnsi"/>
                <w:b/>
                <w:bCs/>
                <w:color w:val="000000" w:themeColor="text1"/>
              </w:rPr>
              <w:t>3.</w:t>
            </w:r>
          </w:p>
        </w:tc>
        <w:tc>
          <w:tcPr>
            <w:tcW w:w="9894" w:type="dxa"/>
          </w:tcPr>
          <w:p w14:paraId="0BF5B15D" w14:textId="20967F6C" w:rsidR="00F63B06" w:rsidRDefault="00F63B06" w:rsidP="00F63B06">
            <w:pPr>
              <w:rPr>
                <w:rFonts w:cstheme="minorHAnsi"/>
                <w:b/>
                <w:bCs/>
                <w:color w:val="000000" w:themeColor="text1"/>
              </w:rPr>
            </w:pPr>
            <w:r w:rsidRPr="003828C6">
              <w:t xml:space="preserve">Be able to explain complicated and technical information in a manner that can be understood by others with different levels of knowledge on the subject. The role must have strong communication skills to enable </w:t>
            </w:r>
            <w:r w:rsidRPr="003828C6">
              <w:lastRenderedPageBreak/>
              <w:t xml:space="preserve">preparation of presentations and report writing including preparation of statement of accounts, </w:t>
            </w:r>
            <w:proofErr w:type="gramStart"/>
            <w:r w:rsidRPr="003828C6">
              <w:t>cabinet</w:t>
            </w:r>
            <w:proofErr w:type="gramEnd"/>
            <w:r w:rsidRPr="003828C6">
              <w:t xml:space="preserve"> and the </w:t>
            </w:r>
            <w:r w:rsidR="001F2911">
              <w:t>scrutiny committees</w:t>
            </w:r>
            <w:r w:rsidRPr="003828C6">
              <w:t xml:space="preserve">, together with liaison with external stakeholders </w:t>
            </w:r>
            <w:r w:rsidR="001E54AB" w:rsidRPr="003828C6">
              <w:t>e.g.,</w:t>
            </w:r>
            <w:r w:rsidRPr="003828C6">
              <w:t xml:space="preserve"> </w:t>
            </w:r>
            <w:r w:rsidR="001F2911">
              <w:t>external audit</w:t>
            </w:r>
            <w:r w:rsidR="001E54AB">
              <w:t>.</w:t>
            </w:r>
          </w:p>
        </w:tc>
      </w:tr>
      <w:tr w:rsidR="00F63B06" w14:paraId="267FFD18" w14:textId="77777777" w:rsidTr="00892352">
        <w:tc>
          <w:tcPr>
            <w:tcW w:w="562" w:type="dxa"/>
          </w:tcPr>
          <w:p w14:paraId="3F00E6B6" w14:textId="77777777" w:rsidR="00F63B06" w:rsidRDefault="00F63B06" w:rsidP="00F63B06">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1CF9127C" w:rsidR="00F63B06" w:rsidRDefault="00F63B06" w:rsidP="00F63B06">
            <w:pPr>
              <w:rPr>
                <w:rFonts w:cstheme="minorHAnsi"/>
                <w:b/>
                <w:bCs/>
                <w:color w:val="000000" w:themeColor="text1"/>
              </w:rPr>
            </w:pPr>
            <w:r w:rsidRPr="003828C6">
              <w:t>Experience of financial reporting in a complex organisation which should include some experience in working in a public sector organisation.</w:t>
            </w:r>
          </w:p>
        </w:tc>
      </w:tr>
      <w:tr w:rsidR="00F63B06" w14:paraId="359C8C7E" w14:textId="77777777" w:rsidTr="00892352">
        <w:tc>
          <w:tcPr>
            <w:tcW w:w="562" w:type="dxa"/>
          </w:tcPr>
          <w:p w14:paraId="171D526B" w14:textId="77777777" w:rsidR="00F63B06" w:rsidRDefault="00F63B06" w:rsidP="00F63B06">
            <w:pPr>
              <w:rPr>
                <w:rFonts w:cstheme="minorHAnsi"/>
                <w:b/>
                <w:bCs/>
                <w:color w:val="000000" w:themeColor="text1"/>
              </w:rPr>
            </w:pPr>
            <w:r>
              <w:rPr>
                <w:rFonts w:cstheme="minorHAnsi"/>
                <w:b/>
                <w:bCs/>
                <w:color w:val="000000" w:themeColor="text1"/>
              </w:rPr>
              <w:t>5.</w:t>
            </w:r>
          </w:p>
        </w:tc>
        <w:tc>
          <w:tcPr>
            <w:tcW w:w="9894" w:type="dxa"/>
          </w:tcPr>
          <w:p w14:paraId="5AEF9E66" w14:textId="7115CD11" w:rsidR="00BD74C4" w:rsidRPr="00843E39" w:rsidRDefault="00F63B06" w:rsidP="00F63B06">
            <w:r w:rsidRPr="003828C6">
              <w:t>Inquisitive and challenging with the ability to apply innovative and creative thinking to service challenges within a fast-paced environment.</w:t>
            </w:r>
          </w:p>
        </w:tc>
      </w:tr>
      <w:tr w:rsidR="00E56566" w14:paraId="212DA764" w14:textId="77777777" w:rsidTr="00892352">
        <w:tc>
          <w:tcPr>
            <w:tcW w:w="562" w:type="dxa"/>
          </w:tcPr>
          <w:p w14:paraId="0E77684C" w14:textId="6DA47C7C" w:rsidR="00E56566" w:rsidRDefault="00E56566" w:rsidP="00F63B06">
            <w:pPr>
              <w:rPr>
                <w:rFonts w:cstheme="minorHAnsi"/>
                <w:b/>
                <w:bCs/>
                <w:color w:val="000000" w:themeColor="text1"/>
              </w:rPr>
            </w:pPr>
            <w:r>
              <w:rPr>
                <w:rFonts w:cstheme="minorHAnsi"/>
                <w:b/>
                <w:bCs/>
                <w:color w:val="000000" w:themeColor="text1"/>
              </w:rPr>
              <w:t>6.</w:t>
            </w:r>
          </w:p>
        </w:tc>
        <w:tc>
          <w:tcPr>
            <w:tcW w:w="9894" w:type="dxa"/>
          </w:tcPr>
          <w:p w14:paraId="15E8DB31" w14:textId="669AE613" w:rsidR="00E56566" w:rsidRPr="000B56AD" w:rsidRDefault="00E56566" w:rsidP="00F63B06">
            <w:r w:rsidRPr="000B56AD">
              <w:t xml:space="preserve">Developed skills in inputting, </w:t>
            </w:r>
            <w:proofErr w:type="gramStart"/>
            <w:r w:rsidRPr="000B56AD">
              <w:t>extracting</w:t>
            </w:r>
            <w:proofErr w:type="gramEnd"/>
            <w:r w:rsidRPr="000B56AD">
              <w:t xml:space="preserve"> and manipulating data within spreadsheets are essential for this role</w:t>
            </w:r>
            <w:r w:rsidR="000B56AD" w:rsidRPr="000B56AD">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132651" w:rsidR="00F77A6D" w:rsidRPr="00F77A6D" w:rsidRDefault="0092465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EB1ACEB" wp14:editId="214F6A74">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8C7EE7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049D0C56"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0B56AD"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shaping their teams’ composition, </w:t>
      </w:r>
      <w:proofErr w:type="gramStart"/>
      <w:r w:rsidRPr="00F96C90">
        <w:rPr>
          <w:rFonts w:asciiTheme="minorHAnsi" w:hAnsiTheme="minorHAnsi" w:cstheme="minorHAnsi"/>
        </w:rPr>
        <w:t>approach</w:t>
      </w:r>
      <w:proofErr w:type="gramEnd"/>
      <w:r w:rsidRPr="00F96C90">
        <w:rPr>
          <w:rFonts w:asciiTheme="minorHAnsi" w:hAnsiTheme="minorHAnsi" w:cstheme="minorHAnsi"/>
        </w:rPr>
        <w:t xml:space="preserve">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 xml:space="preserve">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9A2F" w14:textId="77777777" w:rsidR="00AE348C" w:rsidRDefault="00AE348C">
      <w:pPr>
        <w:spacing w:after="0" w:line="240" w:lineRule="auto"/>
      </w:pPr>
      <w:r>
        <w:separator/>
      </w:r>
    </w:p>
  </w:endnote>
  <w:endnote w:type="continuationSeparator" w:id="0">
    <w:p w14:paraId="343F5E69" w14:textId="77777777" w:rsidR="00AE348C" w:rsidRDefault="00AE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F29454E" w:rsidR="00A21D34" w:rsidRDefault="003E4871">
        <w:pPr>
          <w:pStyle w:val="Footer"/>
          <w:jc w:val="center"/>
        </w:pPr>
        <w:r w:rsidRPr="00CD59FF">
          <w:rPr>
            <w:noProof/>
          </w:rPr>
          <w:drawing>
            <wp:inline distT="0" distB="0" distL="0" distR="0" wp14:anchorId="09DAF2D6" wp14:editId="234FA345">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6933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9918" w14:textId="77777777" w:rsidR="00AE348C" w:rsidRDefault="00AE348C">
      <w:pPr>
        <w:spacing w:after="0" w:line="240" w:lineRule="auto"/>
      </w:pPr>
      <w:r>
        <w:separator/>
      </w:r>
    </w:p>
  </w:footnote>
  <w:footnote w:type="continuationSeparator" w:id="0">
    <w:p w14:paraId="26FA3453" w14:textId="77777777" w:rsidR="00AE348C" w:rsidRDefault="00AE3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F0rZkCjd9INAZgiaA2411OqtG7wqJmJyCAaX9Mju/KWoUjxW6qe91FHX5CtUDkjLg6VkUFYfZP4vywoW7CUEg==" w:salt="W3KbB1soqjkDJXFqMbAe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10508"/>
    <w:rsid w:val="00097F4B"/>
    <w:rsid w:val="000B56AD"/>
    <w:rsid w:val="000F04CA"/>
    <w:rsid w:val="000F534F"/>
    <w:rsid w:val="0012076A"/>
    <w:rsid w:val="001870A7"/>
    <w:rsid w:val="001B4BCF"/>
    <w:rsid w:val="001C2894"/>
    <w:rsid w:val="001E54AB"/>
    <w:rsid w:val="001E7B14"/>
    <w:rsid w:val="001F2911"/>
    <w:rsid w:val="00222E6F"/>
    <w:rsid w:val="00231E06"/>
    <w:rsid w:val="00251D49"/>
    <w:rsid w:val="002D25F4"/>
    <w:rsid w:val="002F32DA"/>
    <w:rsid w:val="003533F6"/>
    <w:rsid w:val="003619E7"/>
    <w:rsid w:val="003734E7"/>
    <w:rsid w:val="00384CC6"/>
    <w:rsid w:val="003E1B72"/>
    <w:rsid w:val="003E4871"/>
    <w:rsid w:val="00412C33"/>
    <w:rsid w:val="00446BC3"/>
    <w:rsid w:val="00467EB5"/>
    <w:rsid w:val="00473C96"/>
    <w:rsid w:val="00506A52"/>
    <w:rsid w:val="005127DC"/>
    <w:rsid w:val="00535A60"/>
    <w:rsid w:val="005A486D"/>
    <w:rsid w:val="005B584C"/>
    <w:rsid w:val="005B5EFF"/>
    <w:rsid w:val="005F01BF"/>
    <w:rsid w:val="00641943"/>
    <w:rsid w:val="0065147F"/>
    <w:rsid w:val="00686208"/>
    <w:rsid w:val="00686BAB"/>
    <w:rsid w:val="0069337C"/>
    <w:rsid w:val="006A0A45"/>
    <w:rsid w:val="006C47FB"/>
    <w:rsid w:val="006D5B81"/>
    <w:rsid w:val="006E3E0E"/>
    <w:rsid w:val="00720F2B"/>
    <w:rsid w:val="00781788"/>
    <w:rsid w:val="007A4697"/>
    <w:rsid w:val="0081677C"/>
    <w:rsid w:val="008424FB"/>
    <w:rsid w:val="00843E39"/>
    <w:rsid w:val="00897BC2"/>
    <w:rsid w:val="00924658"/>
    <w:rsid w:val="00977A67"/>
    <w:rsid w:val="009C58DB"/>
    <w:rsid w:val="009C6B9A"/>
    <w:rsid w:val="00A009E7"/>
    <w:rsid w:val="00A20E3C"/>
    <w:rsid w:val="00A25E9D"/>
    <w:rsid w:val="00A62900"/>
    <w:rsid w:val="00A87C62"/>
    <w:rsid w:val="00A94374"/>
    <w:rsid w:val="00AB0450"/>
    <w:rsid w:val="00AB0A09"/>
    <w:rsid w:val="00AD2933"/>
    <w:rsid w:val="00AE348C"/>
    <w:rsid w:val="00B20434"/>
    <w:rsid w:val="00B9607C"/>
    <w:rsid w:val="00BA725D"/>
    <w:rsid w:val="00BD74C4"/>
    <w:rsid w:val="00BE6EFC"/>
    <w:rsid w:val="00C23807"/>
    <w:rsid w:val="00C3101F"/>
    <w:rsid w:val="00C37FFC"/>
    <w:rsid w:val="00C47B41"/>
    <w:rsid w:val="00CA63F3"/>
    <w:rsid w:val="00CB4B19"/>
    <w:rsid w:val="00CE0B10"/>
    <w:rsid w:val="00D72A65"/>
    <w:rsid w:val="00D85A87"/>
    <w:rsid w:val="00D929C4"/>
    <w:rsid w:val="00DA3210"/>
    <w:rsid w:val="00DC4A0A"/>
    <w:rsid w:val="00DD566C"/>
    <w:rsid w:val="00DE11C6"/>
    <w:rsid w:val="00DF7F38"/>
    <w:rsid w:val="00E05C9E"/>
    <w:rsid w:val="00E133F8"/>
    <w:rsid w:val="00E2449F"/>
    <w:rsid w:val="00E47798"/>
    <w:rsid w:val="00E56566"/>
    <w:rsid w:val="00E827F6"/>
    <w:rsid w:val="00EB2457"/>
    <w:rsid w:val="00EC3018"/>
    <w:rsid w:val="00EE040A"/>
    <w:rsid w:val="00F1572F"/>
    <w:rsid w:val="00F25B6E"/>
    <w:rsid w:val="00F312A8"/>
    <w:rsid w:val="00F63B06"/>
    <w:rsid w:val="00F77A6D"/>
    <w:rsid w:val="00F82F03"/>
    <w:rsid w:val="00FA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0B5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EBA4D482-6272-483E-B010-B6754667A6AC}">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4BD23E6-50AB-4CAF-B006-436F108C31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2023-01-23T12:19:00Z</dcterms:created>
  <dcterms:modified xsi:type="dcterms:W3CDTF">2023-01-23T12:19:00Z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