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39A3C9E8" w:rsidR="0017540B" w:rsidRPr="003C2084" w:rsidRDefault="00795BC3"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Housing Performance &amp; Improvement Manager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5C170CD3" w:rsidR="00844611" w:rsidRPr="001F4958" w:rsidRDefault="00795BC3" w:rsidP="00C577BE">
            <w:pPr>
              <w:spacing w:after="0" w:line="240" w:lineRule="auto"/>
              <w:ind w:right="118"/>
              <w:contextualSpacing/>
              <w:rPr>
                <w:rFonts w:cstheme="minorHAnsi"/>
                <w:noProof/>
                <w:sz w:val="24"/>
                <w:szCs w:val="24"/>
              </w:rPr>
            </w:pPr>
            <w:r>
              <w:rPr>
                <w:rFonts w:cstheme="minorHAnsi"/>
                <w:noProof/>
                <w:sz w:val="24"/>
                <w:szCs w:val="24"/>
              </w:rPr>
              <w:t>Finance and Resources (HRA)</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73C6B144" w:rsidR="00844611" w:rsidRPr="001F4958" w:rsidRDefault="00795BC3" w:rsidP="00C577BE">
            <w:pPr>
              <w:spacing w:after="0" w:line="240" w:lineRule="auto"/>
              <w:ind w:right="118"/>
              <w:contextualSpacing/>
              <w:rPr>
                <w:rFonts w:cstheme="minorHAnsi"/>
                <w:noProof/>
                <w:sz w:val="24"/>
                <w:szCs w:val="24"/>
              </w:rPr>
            </w:pPr>
            <w:r>
              <w:rPr>
                <w:rFonts w:cstheme="minorHAnsi"/>
                <w:noProof/>
                <w:sz w:val="24"/>
                <w:szCs w:val="24"/>
              </w:rPr>
              <w:t>Housing Policy, Performance &amp; Business Planning Lead</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55E5ECA3" w:rsidR="00844611" w:rsidRPr="001F4958" w:rsidRDefault="00721F02" w:rsidP="00C577BE">
            <w:pPr>
              <w:spacing w:after="0" w:line="240" w:lineRule="auto"/>
              <w:ind w:right="118"/>
              <w:contextualSpacing/>
              <w:rPr>
                <w:rFonts w:cstheme="minorHAnsi"/>
                <w:noProof/>
                <w:sz w:val="24"/>
                <w:szCs w:val="24"/>
              </w:rPr>
            </w:pPr>
            <w:r>
              <w:rPr>
                <w:rFonts w:cstheme="minorHAnsi"/>
                <w:noProof/>
                <w:sz w:val="24"/>
                <w:szCs w:val="24"/>
              </w:rPr>
              <w:t>J</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09C579BC"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54385C49" w:rsidR="004B27E7" w:rsidRPr="001F4958" w:rsidRDefault="003F2E21" w:rsidP="00C577BE">
            <w:pPr>
              <w:spacing w:after="0" w:line="240" w:lineRule="auto"/>
              <w:ind w:right="118"/>
              <w:contextualSpacing/>
              <w:rPr>
                <w:rFonts w:cstheme="minorHAnsi"/>
                <w:noProof/>
                <w:sz w:val="24"/>
                <w:szCs w:val="24"/>
              </w:rPr>
            </w:pPr>
            <w:r>
              <w:t>Y</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3D2587EA" w:rsidR="00B86474" w:rsidRPr="001F4958" w:rsidRDefault="00795BC3" w:rsidP="004754B8">
            <w:pPr>
              <w:spacing w:after="0" w:line="240" w:lineRule="auto"/>
              <w:ind w:right="118"/>
              <w:contextualSpacing/>
              <w:rPr>
                <w:rFonts w:cstheme="minorHAnsi"/>
                <w:noProof/>
                <w:sz w:val="24"/>
                <w:szCs w:val="24"/>
              </w:rPr>
            </w:pPr>
            <w:r>
              <w:rPr>
                <w:rFonts w:cstheme="minorHAnsi"/>
                <w:noProof/>
                <w:sz w:val="24"/>
                <w:szCs w:val="24"/>
              </w:rPr>
              <w:t>April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3578CFB6"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6912B8">
              <w:rPr>
                <w:rFonts w:cstheme="minorHAnsi"/>
                <w:noProof/>
                <w:sz w:val="24"/>
                <w:szCs w:val="24"/>
              </w:rPr>
              <w:t>2629</w:t>
            </w:r>
          </w:p>
        </w:tc>
      </w:tr>
    </w:tbl>
    <w:p w14:paraId="2C45D15D" w14:textId="77777777" w:rsidR="003732C0" w:rsidRDefault="003732C0" w:rsidP="00FD0BD7">
      <w:pPr>
        <w:spacing w:after="0" w:line="240" w:lineRule="auto"/>
        <w:ind w:left="567" w:right="118"/>
        <w:rPr>
          <w:rFonts w:ascii="Amasis MT Pro Black" w:hAnsi="Amasis MT Pro Black"/>
          <w:noProof/>
          <w:color w:val="000000" w:themeColor="text1"/>
          <w:sz w:val="32"/>
          <w:szCs w:val="32"/>
        </w:rPr>
      </w:pPr>
    </w:p>
    <w:p w14:paraId="593752E6" w14:textId="101F7AFD" w:rsidR="00B01282"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60505E64" w14:textId="77777777" w:rsidR="003732C0" w:rsidRPr="00FD0BD7" w:rsidRDefault="003732C0" w:rsidP="00FD0BD7">
      <w:pPr>
        <w:spacing w:after="0" w:line="240" w:lineRule="auto"/>
        <w:ind w:left="567" w:right="118"/>
        <w:rPr>
          <w:rFonts w:ascii="Amasis MT Pro Black" w:hAnsi="Amasis MT Pro Black"/>
          <w:noProof/>
          <w:color w:val="000000" w:themeColor="text1"/>
          <w:sz w:val="32"/>
          <w:szCs w:val="32"/>
        </w:rPr>
      </w:pPr>
    </w:p>
    <w:tbl>
      <w:tblPr>
        <w:tblStyle w:val="TableGrid"/>
        <w:tblW w:w="9918" w:type="dxa"/>
        <w:tblInd w:w="567" w:type="dxa"/>
        <w:tblLook w:val="04A0" w:firstRow="1" w:lastRow="0" w:firstColumn="1" w:lastColumn="0" w:noHBand="0" w:noVBand="1"/>
      </w:tblPr>
      <w:tblGrid>
        <w:gridCol w:w="456"/>
        <w:gridCol w:w="9462"/>
      </w:tblGrid>
      <w:tr w:rsidR="008822B6" w14:paraId="5C8C87F7" w14:textId="77777777" w:rsidTr="006661AD">
        <w:tc>
          <w:tcPr>
            <w:tcW w:w="456" w:type="dxa"/>
          </w:tcPr>
          <w:p w14:paraId="317D298E" w14:textId="6E2B1C38" w:rsidR="008822B6" w:rsidRPr="000D2837" w:rsidRDefault="008822B6" w:rsidP="008822B6">
            <w:pPr>
              <w:spacing w:after="0" w:line="240" w:lineRule="auto"/>
              <w:ind w:right="118"/>
              <w:rPr>
                <w:b/>
                <w:bCs/>
                <w:sz w:val="24"/>
                <w:szCs w:val="24"/>
              </w:rPr>
            </w:pPr>
            <w:bookmarkStart w:id="0" w:name="_Hlk163835639"/>
            <w:r w:rsidRPr="000D2837">
              <w:rPr>
                <w:b/>
                <w:bCs/>
                <w:sz w:val="24"/>
                <w:szCs w:val="24"/>
              </w:rPr>
              <w:t>1</w:t>
            </w:r>
          </w:p>
        </w:tc>
        <w:tc>
          <w:tcPr>
            <w:tcW w:w="9462" w:type="dxa"/>
          </w:tcPr>
          <w:p w14:paraId="55668EEE" w14:textId="5A01C253" w:rsidR="008822B6" w:rsidRDefault="008822B6" w:rsidP="008822B6">
            <w:pPr>
              <w:spacing w:after="0" w:line="240" w:lineRule="auto"/>
              <w:ind w:right="118"/>
              <w:rPr>
                <w:sz w:val="24"/>
                <w:szCs w:val="24"/>
              </w:rPr>
            </w:pPr>
            <w:r w:rsidRPr="00381CA3">
              <w:rPr>
                <w:rFonts w:cstheme="minorHAnsi"/>
              </w:rPr>
              <w:t xml:space="preserve">Develop robust and accurate performance reporting and information for our landlord function, providing assurance and challenge to the Landlord Board and Housing Services, identifying gaps in information, and introducing new performance metrics and data to ensure the effective management of landlord services. </w:t>
            </w:r>
          </w:p>
        </w:tc>
      </w:tr>
      <w:tr w:rsidR="008822B6" w14:paraId="1175A00B" w14:textId="77777777" w:rsidTr="006661AD">
        <w:tc>
          <w:tcPr>
            <w:tcW w:w="456" w:type="dxa"/>
          </w:tcPr>
          <w:p w14:paraId="1648EC52" w14:textId="06E671FB" w:rsidR="008822B6" w:rsidRPr="000D2837" w:rsidRDefault="008822B6" w:rsidP="008822B6">
            <w:pPr>
              <w:spacing w:after="0" w:line="240" w:lineRule="auto"/>
              <w:ind w:right="118"/>
              <w:rPr>
                <w:b/>
                <w:bCs/>
                <w:sz w:val="24"/>
                <w:szCs w:val="24"/>
              </w:rPr>
            </w:pPr>
            <w:r w:rsidRPr="000D2837">
              <w:rPr>
                <w:b/>
                <w:bCs/>
                <w:sz w:val="24"/>
                <w:szCs w:val="24"/>
              </w:rPr>
              <w:t>2</w:t>
            </w:r>
          </w:p>
        </w:tc>
        <w:tc>
          <w:tcPr>
            <w:tcW w:w="9462" w:type="dxa"/>
          </w:tcPr>
          <w:p w14:paraId="43C88BE5" w14:textId="1088BF59" w:rsidR="008822B6" w:rsidRDefault="008822B6" w:rsidP="008822B6">
            <w:pPr>
              <w:spacing w:after="0" w:line="240" w:lineRule="auto"/>
              <w:ind w:right="118"/>
              <w:rPr>
                <w:sz w:val="24"/>
                <w:szCs w:val="24"/>
              </w:rPr>
            </w:pPr>
            <w:r w:rsidRPr="00381CA3">
              <w:rPr>
                <w:rFonts w:cstheme="minorHAnsi"/>
              </w:rPr>
              <w:t xml:space="preserve">Lead the transition and compliance with the new Housing Consumer Standards and other forms of regulation (driven by the Regulator of Social Housing) impacting our landlord responsibilities, including professional standards and complaint handling, acting as critical friend to services, and identifying and imbedding any necessary improvements (including policy development).     </w:t>
            </w:r>
          </w:p>
        </w:tc>
      </w:tr>
      <w:tr w:rsidR="008822B6" w14:paraId="52DB8D7D" w14:textId="77777777" w:rsidTr="006661AD">
        <w:tc>
          <w:tcPr>
            <w:tcW w:w="456" w:type="dxa"/>
          </w:tcPr>
          <w:p w14:paraId="68898096" w14:textId="51AF515F" w:rsidR="008822B6" w:rsidRPr="000D2837" w:rsidRDefault="008822B6" w:rsidP="008822B6">
            <w:pPr>
              <w:spacing w:after="0" w:line="240" w:lineRule="auto"/>
              <w:ind w:right="118"/>
              <w:rPr>
                <w:b/>
                <w:bCs/>
                <w:sz w:val="24"/>
                <w:szCs w:val="24"/>
              </w:rPr>
            </w:pPr>
            <w:r w:rsidRPr="000D2837">
              <w:rPr>
                <w:b/>
                <w:bCs/>
                <w:sz w:val="24"/>
                <w:szCs w:val="24"/>
              </w:rPr>
              <w:t>3</w:t>
            </w:r>
          </w:p>
        </w:tc>
        <w:tc>
          <w:tcPr>
            <w:tcW w:w="9462" w:type="dxa"/>
          </w:tcPr>
          <w:p w14:paraId="16CB76F1" w14:textId="692180F6" w:rsidR="008822B6" w:rsidRDefault="008822B6" w:rsidP="008822B6">
            <w:pPr>
              <w:spacing w:after="0" w:line="240" w:lineRule="auto"/>
              <w:ind w:right="118"/>
              <w:rPr>
                <w:sz w:val="24"/>
                <w:szCs w:val="24"/>
              </w:rPr>
            </w:pPr>
            <w:r w:rsidRPr="1E17CF60">
              <w:t xml:space="preserve">Ongoing business improvement of the Housing service, through business process reviews, use of technology and data (including automation), ensuring wider sector learning and best practice is imbedded in MK. </w:t>
            </w:r>
            <w:r w:rsidRPr="00381CA3">
              <w:rPr>
                <w:rFonts w:cs="Arial"/>
              </w:rPr>
              <w:t xml:space="preserve">Includes keeping </w:t>
            </w:r>
            <w:proofErr w:type="gramStart"/>
            <w:r w:rsidRPr="00381CA3">
              <w:rPr>
                <w:rFonts w:cs="Arial"/>
              </w:rPr>
              <w:t>up-to-date</w:t>
            </w:r>
            <w:proofErr w:type="gramEnd"/>
            <w:r w:rsidRPr="00381CA3">
              <w:rPr>
                <w:rFonts w:cs="Arial"/>
              </w:rPr>
              <w:t xml:space="preserve"> with best practice in the sector and critically assessing the opportunities for learning.</w:t>
            </w:r>
            <w:r w:rsidRPr="1E17CF60">
              <w:rPr>
                <w:rFonts w:cs="Arial"/>
              </w:rPr>
              <w:t xml:space="preserve"> Manage</w:t>
            </w:r>
            <w:r>
              <w:rPr>
                <w:rFonts w:cs="Arial"/>
              </w:rPr>
              <w:t xml:space="preserve"> and account for</w:t>
            </w:r>
            <w:r w:rsidRPr="1E17CF60">
              <w:rPr>
                <w:rFonts w:cs="Arial"/>
              </w:rPr>
              <w:t xml:space="preserve"> </w:t>
            </w:r>
            <w:r>
              <w:rPr>
                <w:rFonts w:cs="Arial"/>
              </w:rPr>
              <w:t xml:space="preserve">financial </w:t>
            </w:r>
            <w:r w:rsidRPr="1E17CF60">
              <w:rPr>
                <w:rFonts w:cs="Arial"/>
              </w:rPr>
              <w:t>grants received from the Housing Regulator,</w:t>
            </w:r>
          </w:p>
        </w:tc>
      </w:tr>
      <w:tr w:rsidR="008822B6" w14:paraId="41071A23" w14:textId="77777777" w:rsidTr="006661AD">
        <w:tc>
          <w:tcPr>
            <w:tcW w:w="456" w:type="dxa"/>
          </w:tcPr>
          <w:p w14:paraId="4BCFE63A" w14:textId="4DD18346" w:rsidR="008822B6" w:rsidRPr="000D2837" w:rsidRDefault="008822B6" w:rsidP="008822B6">
            <w:pPr>
              <w:spacing w:after="0" w:line="240" w:lineRule="auto"/>
              <w:ind w:right="118"/>
              <w:rPr>
                <w:b/>
                <w:bCs/>
                <w:sz w:val="24"/>
                <w:szCs w:val="24"/>
              </w:rPr>
            </w:pPr>
            <w:r w:rsidRPr="000D2837">
              <w:rPr>
                <w:b/>
                <w:bCs/>
                <w:sz w:val="24"/>
                <w:szCs w:val="24"/>
              </w:rPr>
              <w:t>4</w:t>
            </w:r>
          </w:p>
        </w:tc>
        <w:tc>
          <w:tcPr>
            <w:tcW w:w="9462" w:type="dxa"/>
          </w:tcPr>
          <w:p w14:paraId="0068C190" w14:textId="455D5015" w:rsidR="008822B6" w:rsidRDefault="008822B6" w:rsidP="008822B6">
            <w:pPr>
              <w:spacing w:after="0" w:line="240" w:lineRule="auto"/>
              <w:ind w:right="118"/>
              <w:rPr>
                <w:sz w:val="24"/>
                <w:szCs w:val="24"/>
              </w:rPr>
            </w:pPr>
            <w:r w:rsidRPr="00381CA3">
              <w:rPr>
                <w:rFonts w:cstheme="minorHAnsi"/>
              </w:rPr>
              <w:t xml:space="preserve">Leading and co-ordinating engagement, including co-ordinating consultations with tenants, </w:t>
            </w:r>
            <w:proofErr w:type="gramStart"/>
            <w:r w:rsidRPr="00381CA3">
              <w:rPr>
                <w:rFonts w:cstheme="minorHAnsi"/>
              </w:rPr>
              <w:t>leaseholders</w:t>
            </w:r>
            <w:proofErr w:type="gramEnd"/>
            <w:r w:rsidRPr="00381CA3">
              <w:rPr>
                <w:rFonts w:cstheme="minorHAnsi"/>
              </w:rPr>
              <w:t xml:space="preserve"> and other stakeholders, learning from feedback from previous consultations and Tenancy Satisfaction Measures (TSM), to increase levels of engagement with our tenants and ensuring engagement is wide ranging (effective website and broader engagement tools). </w:t>
            </w:r>
          </w:p>
        </w:tc>
      </w:tr>
      <w:tr w:rsidR="008822B6" w14:paraId="1AFB009D" w14:textId="77777777" w:rsidTr="006661AD">
        <w:tc>
          <w:tcPr>
            <w:tcW w:w="456" w:type="dxa"/>
          </w:tcPr>
          <w:p w14:paraId="488283BD" w14:textId="79A6057E" w:rsidR="008822B6" w:rsidRPr="000D2837" w:rsidRDefault="008822B6" w:rsidP="008822B6">
            <w:pPr>
              <w:spacing w:after="0" w:line="240" w:lineRule="auto"/>
              <w:ind w:right="118"/>
              <w:rPr>
                <w:b/>
                <w:bCs/>
                <w:sz w:val="24"/>
                <w:szCs w:val="24"/>
              </w:rPr>
            </w:pPr>
            <w:r w:rsidRPr="000D2837">
              <w:rPr>
                <w:b/>
                <w:bCs/>
                <w:sz w:val="24"/>
                <w:szCs w:val="24"/>
              </w:rPr>
              <w:t>5</w:t>
            </w:r>
          </w:p>
        </w:tc>
        <w:tc>
          <w:tcPr>
            <w:tcW w:w="9462" w:type="dxa"/>
          </w:tcPr>
          <w:p w14:paraId="45F1015A" w14:textId="27D612FE" w:rsidR="008822B6" w:rsidRDefault="008822B6" w:rsidP="008822B6">
            <w:pPr>
              <w:spacing w:after="0" w:line="240" w:lineRule="auto"/>
              <w:ind w:right="118"/>
              <w:rPr>
                <w:sz w:val="24"/>
                <w:szCs w:val="24"/>
              </w:rPr>
            </w:pPr>
            <w:r w:rsidRPr="00381CA3">
              <w:rPr>
                <w:rFonts w:cstheme="minorHAnsi"/>
              </w:rPr>
              <w:t xml:space="preserve">Managing a team of Housing Improvement Officers and deputise for the Housing Policy, Performance and Business Planning Lead, and Assistant Director of Finance (Housing Business Improvement), when needed.   </w:t>
            </w:r>
          </w:p>
        </w:tc>
      </w:tr>
      <w:tr w:rsidR="008822B6" w14:paraId="4D030043" w14:textId="77777777" w:rsidTr="006661AD">
        <w:tc>
          <w:tcPr>
            <w:tcW w:w="456" w:type="dxa"/>
          </w:tcPr>
          <w:p w14:paraId="2A535A5B" w14:textId="712DB6A5" w:rsidR="008822B6" w:rsidRPr="000D2837" w:rsidRDefault="008822B6" w:rsidP="008822B6">
            <w:pPr>
              <w:spacing w:after="0" w:line="240" w:lineRule="auto"/>
              <w:ind w:right="118"/>
              <w:rPr>
                <w:b/>
                <w:bCs/>
                <w:sz w:val="24"/>
                <w:szCs w:val="24"/>
              </w:rPr>
            </w:pPr>
            <w:r w:rsidRPr="000D2837">
              <w:rPr>
                <w:b/>
                <w:bCs/>
                <w:sz w:val="24"/>
                <w:szCs w:val="24"/>
              </w:rPr>
              <w:t>6</w:t>
            </w:r>
          </w:p>
        </w:tc>
        <w:tc>
          <w:tcPr>
            <w:tcW w:w="9462" w:type="dxa"/>
          </w:tcPr>
          <w:p w14:paraId="55A494C8" w14:textId="5AA35A30" w:rsidR="008822B6" w:rsidRDefault="008822B6" w:rsidP="008822B6">
            <w:pPr>
              <w:spacing w:after="0" w:line="240" w:lineRule="auto"/>
              <w:ind w:right="118"/>
              <w:rPr>
                <w:sz w:val="24"/>
                <w:szCs w:val="24"/>
              </w:rPr>
            </w:pPr>
            <w:r w:rsidRPr="00381CA3">
              <w:rPr>
                <w:rFonts w:cstheme="minorHAnsi"/>
              </w:rPr>
              <w:t xml:space="preserve">Project manage </w:t>
            </w:r>
            <w:proofErr w:type="gramStart"/>
            <w:r w:rsidRPr="00381CA3">
              <w:rPr>
                <w:rFonts w:cstheme="minorHAnsi"/>
              </w:rPr>
              <w:t>a number of</w:t>
            </w:r>
            <w:proofErr w:type="gramEnd"/>
            <w:r w:rsidRPr="00381CA3">
              <w:rPr>
                <w:rFonts w:cstheme="minorHAnsi"/>
              </w:rPr>
              <w:t xml:space="preserve"> improvement projects, including chairing project boards, ensuring they are delivered within time and benefits are captured, which will involve writing of business cases, project documents and in line with the MK Project Management Approach. </w:t>
            </w:r>
            <w:r>
              <w:rPr>
                <w:rFonts w:cstheme="minorHAnsi"/>
              </w:rPr>
              <w:t xml:space="preserve">Ensure budget monitoring and compliance with financial regulations, against grant funding received and monitor compensation and regulatory penalties. </w:t>
            </w:r>
          </w:p>
        </w:tc>
      </w:tr>
      <w:tr w:rsidR="008822B6" w14:paraId="7FF9C3B2" w14:textId="77777777" w:rsidTr="006661AD">
        <w:tc>
          <w:tcPr>
            <w:tcW w:w="456" w:type="dxa"/>
          </w:tcPr>
          <w:p w14:paraId="39561B29" w14:textId="2BD58332" w:rsidR="008822B6" w:rsidRPr="000D2837" w:rsidRDefault="008822B6" w:rsidP="008822B6">
            <w:pPr>
              <w:spacing w:after="0" w:line="240" w:lineRule="auto"/>
              <w:ind w:right="118"/>
              <w:rPr>
                <w:b/>
                <w:bCs/>
                <w:sz w:val="24"/>
                <w:szCs w:val="24"/>
              </w:rPr>
            </w:pPr>
            <w:r>
              <w:rPr>
                <w:b/>
                <w:bCs/>
                <w:sz w:val="24"/>
                <w:szCs w:val="24"/>
              </w:rPr>
              <w:lastRenderedPageBreak/>
              <w:t>7</w:t>
            </w:r>
          </w:p>
        </w:tc>
        <w:tc>
          <w:tcPr>
            <w:tcW w:w="9462" w:type="dxa"/>
          </w:tcPr>
          <w:p w14:paraId="0D944622" w14:textId="47C7BAF4" w:rsidR="008822B6" w:rsidRDefault="008822B6" w:rsidP="008822B6">
            <w:pPr>
              <w:spacing w:after="0" w:line="240" w:lineRule="auto"/>
              <w:ind w:right="118"/>
              <w:rPr>
                <w:sz w:val="24"/>
                <w:szCs w:val="24"/>
              </w:rPr>
            </w:pPr>
            <w:r w:rsidRPr="00381CA3">
              <w:rPr>
                <w:rFonts w:ascii="Calibri" w:hAnsi="Calibri" w:cs="Arial"/>
              </w:rPr>
              <w:t xml:space="preserve">Lead on the preparation of housing policy changes </w:t>
            </w:r>
            <w:r w:rsidRPr="00381CA3">
              <w:t xml:space="preserve">to ensure compliance with council standards of service delivery; statutory and regulatory requirements; and </w:t>
            </w:r>
            <w:r w:rsidRPr="00381CA3">
              <w:rPr>
                <w:rFonts w:ascii="Calibri" w:hAnsi="Calibri" w:cs="Arial"/>
              </w:rPr>
              <w:t>reports for management and Director’s review which will include providing informed responses to government consultations.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918" w:type="dxa"/>
        <w:tblInd w:w="567" w:type="dxa"/>
        <w:tblLook w:val="04A0" w:firstRow="1" w:lastRow="0" w:firstColumn="1" w:lastColumn="0" w:noHBand="0" w:noVBand="1"/>
      </w:tblPr>
      <w:tblGrid>
        <w:gridCol w:w="456"/>
        <w:gridCol w:w="9462"/>
      </w:tblGrid>
      <w:tr w:rsidR="006661AD" w14:paraId="7DF1D041" w14:textId="77777777" w:rsidTr="006661AD">
        <w:tc>
          <w:tcPr>
            <w:tcW w:w="456" w:type="dxa"/>
          </w:tcPr>
          <w:p w14:paraId="1383F5FB" w14:textId="77777777" w:rsidR="006661AD" w:rsidRPr="000D2837" w:rsidRDefault="006661AD" w:rsidP="006661AD">
            <w:pPr>
              <w:spacing w:after="0" w:line="240" w:lineRule="auto"/>
              <w:ind w:right="118"/>
              <w:rPr>
                <w:b/>
                <w:bCs/>
                <w:sz w:val="24"/>
                <w:szCs w:val="24"/>
              </w:rPr>
            </w:pPr>
            <w:r w:rsidRPr="000D2837">
              <w:rPr>
                <w:b/>
                <w:bCs/>
                <w:sz w:val="24"/>
                <w:szCs w:val="24"/>
              </w:rPr>
              <w:t>1</w:t>
            </w:r>
          </w:p>
        </w:tc>
        <w:tc>
          <w:tcPr>
            <w:tcW w:w="9462" w:type="dxa"/>
          </w:tcPr>
          <w:p w14:paraId="4F774DBC" w14:textId="43C62585" w:rsidR="006661AD" w:rsidRDefault="006661AD" w:rsidP="006661AD">
            <w:pPr>
              <w:spacing w:after="0" w:line="240" w:lineRule="auto"/>
              <w:ind w:right="118"/>
              <w:rPr>
                <w:sz w:val="24"/>
                <w:szCs w:val="24"/>
              </w:rPr>
            </w:pPr>
            <w:r w:rsidRPr="00B828D0">
              <w:rPr>
                <w:rFonts w:cstheme="minorHAnsi"/>
                <w:color w:val="000000" w:themeColor="text1"/>
              </w:rPr>
              <w:t xml:space="preserve">Chartered Institute of Housing (CIH) qualified (minimum level 4) or willing to work towards the qualification. </w:t>
            </w:r>
          </w:p>
        </w:tc>
      </w:tr>
      <w:tr w:rsidR="006661AD" w14:paraId="30609FB5" w14:textId="77777777" w:rsidTr="006661AD">
        <w:tc>
          <w:tcPr>
            <w:tcW w:w="456" w:type="dxa"/>
          </w:tcPr>
          <w:p w14:paraId="40CF3A09" w14:textId="77777777" w:rsidR="006661AD" w:rsidRPr="000D2837" w:rsidRDefault="006661AD" w:rsidP="006661AD">
            <w:pPr>
              <w:spacing w:after="0" w:line="240" w:lineRule="auto"/>
              <w:ind w:right="118"/>
              <w:rPr>
                <w:b/>
                <w:bCs/>
                <w:sz w:val="24"/>
                <w:szCs w:val="24"/>
              </w:rPr>
            </w:pPr>
            <w:r w:rsidRPr="000D2837">
              <w:rPr>
                <w:b/>
                <w:bCs/>
                <w:sz w:val="24"/>
                <w:szCs w:val="24"/>
              </w:rPr>
              <w:t>2</w:t>
            </w:r>
          </w:p>
        </w:tc>
        <w:tc>
          <w:tcPr>
            <w:tcW w:w="9462" w:type="dxa"/>
          </w:tcPr>
          <w:p w14:paraId="4814316C" w14:textId="239A314A" w:rsidR="006661AD" w:rsidRDefault="006661AD" w:rsidP="006661AD">
            <w:pPr>
              <w:spacing w:after="0" w:line="240" w:lineRule="auto"/>
              <w:ind w:right="118"/>
              <w:rPr>
                <w:sz w:val="24"/>
                <w:szCs w:val="24"/>
              </w:rPr>
            </w:pPr>
            <w:r>
              <w:rPr>
                <w:rFonts w:cstheme="minorHAnsi"/>
                <w:color w:val="000000" w:themeColor="text1"/>
              </w:rPr>
              <w:t>Demonstrable experience of working in Housing Management within any type of Registered Provider (Housing Association, LA).</w:t>
            </w:r>
          </w:p>
        </w:tc>
      </w:tr>
      <w:tr w:rsidR="006661AD" w14:paraId="6CA6538F" w14:textId="77777777" w:rsidTr="006661AD">
        <w:tc>
          <w:tcPr>
            <w:tcW w:w="456" w:type="dxa"/>
          </w:tcPr>
          <w:p w14:paraId="05DBBD0C" w14:textId="77777777" w:rsidR="006661AD" w:rsidRPr="000D2837" w:rsidRDefault="006661AD" w:rsidP="006661AD">
            <w:pPr>
              <w:spacing w:after="0" w:line="240" w:lineRule="auto"/>
              <w:ind w:right="118"/>
              <w:rPr>
                <w:b/>
                <w:bCs/>
                <w:sz w:val="24"/>
                <w:szCs w:val="24"/>
              </w:rPr>
            </w:pPr>
            <w:r w:rsidRPr="000D2837">
              <w:rPr>
                <w:b/>
                <w:bCs/>
                <w:sz w:val="24"/>
                <w:szCs w:val="24"/>
              </w:rPr>
              <w:t>3</w:t>
            </w:r>
          </w:p>
        </w:tc>
        <w:tc>
          <w:tcPr>
            <w:tcW w:w="9462" w:type="dxa"/>
          </w:tcPr>
          <w:p w14:paraId="1A9C3ABB" w14:textId="6D61B2C8" w:rsidR="006661AD" w:rsidRDefault="006661AD" w:rsidP="006661AD">
            <w:pPr>
              <w:spacing w:after="0" w:line="240" w:lineRule="auto"/>
              <w:ind w:right="118"/>
              <w:rPr>
                <w:sz w:val="24"/>
                <w:szCs w:val="24"/>
              </w:rPr>
            </w:pPr>
            <w:r>
              <w:rPr>
                <w:rFonts w:cstheme="minorHAnsi"/>
                <w:color w:val="000000" w:themeColor="text1"/>
              </w:rPr>
              <w:t xml:space="preserve">Proven ability to present information in a range of formats, including report writing and presentations. </w:t>
            </w:r>
          </w:p>
        </w:tc>
      </w:tr>
      <w:tr w:rsidR="006661AD" w14:paraId="22047EE8" w14:textId="77777777" w:rsidTr="006661AD">
        <w:tc>
          <w:tcPr>
            <w:tcW w:w="456" w:type="dxa"/>
          </w:tcPr>
          <w:p w14:paraId="43E08BC9" w14:textId="77777777" w:rsidR="006661AD" w:rsidRPr="000D2837" w:rsidRDefault="006661AD" w:rsidP="006661AD">
            <w:pPr>
              <w:spacing w:after="0" w:line="240" w:lineRule="auto"/>
              <w:ind w:right="118"/>
              <w:rPr>
                <w:b/>
                <w:bCs/>
                <w:sz w:val="24"/>
                <w:szCs w:val="24"/>
              </w:rPr>
            </w:pPr>
            <w:r w:rsidRPr="000D2837">
              <w:rPr>
                <w:b/>
                <w:bCs/>
                <w:sz w:val="24"/>
                <w:szCs w:val="24"/>
              </w:rPr>
              <w:t>4</w:t>
            </w:r>
          </w:p>
        </w:tc>
        <w:tc>
          <w:tcPr>
            <w:tcW w:w="9462" w:type="dxa"/>
          </w:tcPr>
          <w:p w14:paraId="73FB3F60" w14:textId="581486C2" w:rsidR="006661AD" w:rsidRDefault="006661AD" w:rsidP="006661AD">
            <w:pPr>
              <w:spacing w:after="0" w:line="240" w:lineRule="auto"/>
              <w:ind w:right="118"/>
              <w:rPr>
                <w:sz w:val="24"/>
                <w:szCs w:val="24"/>
              </w:rPr>
            </w:pPr>
            <w:r>
              <w:rPr>
                <w:rFonts w:cstheme="minorHAnsi"/>
                <w:color w:val="000000" w:themeColor="text1"/>
              </w:rPr>
              <w:t xml:space="preserve">Proven ability to work independently on a range of new issues, requiring research and self-learning. </w:t>
            </w:r>
          </w:p>
        </w:tc>
      </w:tr>
      <w:tr w:rsidR="006661AD" w14:paraId="1CA3B18C" w14:textId="77777777" w:rsidTr="006661AD">
        <w:tc>
          <w:tcPr>
            <w:tcW w:w="456" w:type="dxa"/>
          </w:tcPr>
          <w:p w14:paraId="218547CD" w14:textId="77777777" w:rsidR="006661AD" w:rsidRPr="000D2837" w:rsidRDefault="006661AD" w:rsidP="006661AD">
            <w:pPr>
              <w:spacing w:after="0" w:line="240" w:lineRule="auto"/>
              <w:ind w:right="118"/>
              <w:rPr>
                <w:b/>
                <w:bCs/>
                <w:sz w:val="24"/>
                <w:szCs w:val="24"/>
              </w:rPr>
            </w:pPr>
            <w:r w:rsidRPr="000D2837">
              <w:rPr>
                <w:b/>
                <w:bCs/>
                <w:sz w:val="24"/>
                <w:szCs w:val="24"/>
              </w:rPr>
              <w:t>5</w:t>
            </w:r>
          </w:p>
        </w:tc>
        <w:tc>
          <w:tcPr>
            <w:tcW w:w="9462" w:type="dxa"/>
          </w:tcPr>
          <w:p w14:paraId="5D8DC2AA" w14:textId="2682B418" w:rsidR="006661AD" w:rsidRDefault="006661AD" w:rsidP="006661AD">
            <w:pPr>
              <w:spacing w:after="0" w:line="240" w:lineRule="auto"/>
              <w:ind w:right="118"/>
              <w:rPr>
                <w:sz w:val="24"/>
                <w:szCs w:val="24"/>
              </w:rPr>
            </w:pPr>
            <w:r>
              <w:rPr>
                <w:rFonts w:cstheme="minorHAnsi"/>
                <w:color w:val="000000" w:themeColor="text1"/>
              </w:rPr>
              <w:t xml:space="preserve">Proven ability to communicate with effectively and work with </w:t>
            </w:r>
            <w:proofErr w:type="gramStart"/>
            <w:r>
              <w:rPr>
                <w:rFonts w:cstheme="minorHAnsi"/>
                <w:color w:val="000000" w:themeColor="text1"/>
              </w:rPr>
              <w:t>a number of</w:t>
            </w:r>
            <w:proofErr w:type="gramEnd"/>
            <w:r>
              <w:rPr>
                <w:rFonts w:cstheme="minorHAnsi"/>
                <w:color w:val="000000" w:themeColor="text1"/>
              </w:rPr>
              <w:t xml:space="preserve"> different stakeholders, including other Housing teams, tenants, councillors, the regulator and other councils. </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8B475EB"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721F02">
        <w:rPr>
          <w:rFonts w:ascii="Amasis MT Pro Black" w:hAnsi="Amasis MT Pro Black"/>
          <w:b/>
          <w:bCs/>
          <w:color w:val="008796"/>
          <w:sz w:val="48"/>
          <w:szCs w:val="48"/>
        </w:rPr>
        <w:t>J</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5380AF50" w14:textId="61393441" w:rsidR="00721F02" w:rsidRPr="00721F02" w:rsidRDefault="00721F02" w:rsidP="00721F02">
      <w:pPr>
        <w:spacing w:after="0" w:line="240" w:lineRule="auto"/>
        <w:ind w:left="567" w:right="260"/>
        <w:rPr>
          <w:noProof/>
          <w:sz w:val="24"/>
          <w:szCs w:val="24"/>
        </w:rPr>
      </w:pPr>
      <w:r w:rsidRPr="00721F02">
        <w:rPr>
          <w:noProof/>
          <w:sz w:val="24"/>
          <w:szCs w:val="24"/>
        </w:rPr>
        <w:t>Professional</w:t>
      </w:r>
      <w:r>
        <w:rPr>
          <w:noProof/>
          <w:sz w:val="24"/>
          <w:szCs w:val="24"/>
        </w:rPr>
        <w:t xml:space="preserve"> and </w:t>
      </w:r>
      <w:r w:rsidRPr="00721F02">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721F02">
        <w:rPr>
          <w:noProof/>
          <w:sz w:val="24"/>
          <w:szCs w:val="24"/>
        </w:rPr>
        <w:t>ouncil assets, the development of policies and procedures and the strategic direction of the functions they support.</w:t>
      </w:r>
    </w:p>
    <w:p w14:paraId="0AD26868" w14:textId="77777777" w:rsidR="00721F02" w:rsidRPr="00721F02" w:rsidRDefault="00721F02" w:rsidP="00721F02">
      <w:pPr>
        <w:spacing w:after="0" w:line="240" w:lineRule="auto"/>
        <w:ind w:left="567" w:right="260"/>
        <w:rPr>
          <w:noProof/>
          <w:sz w:val="24"/>
          <w:szCs w:val="24"/>
        </w:rPr>
      </w:pPr>
    </w:p>
    <w:p w14:paraId="44FC172D" w14:textId="77777777" w:rsidR="00721F02" w:rsidRPr="00721F02" w:rsidRDefault="00721F02" w:rsidP="00721F02">
      <w:pPr>
        <w:spacing w:after="0" w:line="240" w:lineRule="auto"/>
        <w:ind w:left="567" w:right="260"/>
        <w:rPr>
          <w:noProof/>
          <w:sz w:val="24"/>
          <w:szCs w:val="24"/>
        </w:rPr>
      </w:pPr>
      <w:r w:rsidRPr="00721F02">
        <w:rPr>
          <w:noProof/>
          <w:sz w:val="24"/>
          <w:szCs w:val="24"/>
        </w:rPr>
        <w:t>This element of the profile, taken from the job family descriptor for this grade, provides a general understanding of the level of work and demands required.</w:t>
      </w:r>
    </w:p>
    <w:p w14:paraId="1611F86F" w14:textId="77777777" w:rsidR="00721F02" w:rsidRPr="00721F02" w:rsidRDefault="00721F02" w:rsidP="00721F02">
      <w:pPr>
        <w:spacing w:after="0" w:line="240" w:lineRule="auto"/>
        <w:ind w:left="567" w:right="260"/>
        <w:rPr>
          <w:noProof/>
          <w:sz w:val="24"/>
          <w:szCs w:val="24"/>
        </w:rPr>
      </w:pPr>
    </w:p>
    <w:p w14:paraId="4A74810E" w14:textId="77777777" w:rsidR="00721F02" w:rsidRPr="00721F02" w:rsidRDefault="00721F02" w:rsidP="00721F02">
      <w:pPr>
        <w:spacing w:after="0" w:line="240" w:lineRule="auto"/>
        <w:ind w:left="567" w:right="260"/>
        <w:rPr>
          <w:b/>
          <w:bCs/>
          <w:noProof/>
          <w:sz w:val="24"/>
          <w:szCs w:val="24"/>
        </w:rPr>
      </w:pPr>
      <w:r w:rsidRPr="00721F02">
        <w:rPr>
          <w:b/>
          <w:bCs/>
          <w:noProof/>
          <w:sz w:val="24"/>
          <w:szCs w:val="24"/>
        </w:rPr>
        <w:t>Role characteristics</w:t>
      </w:r>
    </w:p>
    <w:p w14:paraId="7287E1E8" w14:textId="77777777" w:rsidR="00721F02" w:rsidRPr="00721F02" w:rsidRDefault="00721F02" w:rsidP="00721F02">
      <w:pPr>
        <w:spacing w:after="0" w:line="240" w:lineRule="auto"/>
        <w:ind w:left="567" w:right="260"/>
        <w:rPr>
          <w:noProof/>
          <w:sz w:val="24"/>
          <w:szCs w:val="24"/>
        </w:rPr>
      </w:pPr>
    </w:p>
    <w:p w14:paraId="61F269BB" w14:textId="2B6F52C7" w:rsidR="00721F02" w:rsidRPr="00721F02" w:rsidRDefault="00721F02" w:rsidP="00721F02">
      <w:pPr>
        <w:spacing w:after="0" w:line="240" w:lineRule="auto"/>
        <w:ind w:left="567" w:right="260"/>
        <w:rPr>
          <w:noProof/>
          <w:sz w:val="24"/>
          <w:szCs w:val="24"/>
        </w:rPr>
      </w:pPr>
      <w:r w:rsidRPr="00721F02">
        <w:rPr>
          <w:noProof/>
          <w:sz w:val="24"/>
          <w:szCs w:val="24"/>
        </w:rPr>
        <w:t xml:space="preserve">At this level job holders usually report to a Head of Service and are responsible for the development and implementation of strategy relating to a whole function within that </w:t>
      </w:r>
      <w:r>
        <w:rPr>
          <w:noProof/>
          <w:sz w:val="24"/>
          <w:szCs w:val="24"/>
        </w:rPr>
        <w:t>s</w:t>
      </w:r>
      <w:r w:rsidRPr="00721F02">
        <w:rPr>
          <w:noProof/>
          <w:sz w:val="24"/>
          <w:szCs w:val="24"/>
        </w:rPr>
        <w:t>ervice. Posts carry significant responsibilities for finance and a range of other non-financial assets and job holders will make autonomous decisions and lead the management of change throughout their functional area.</w:t>
      </w:r>
    </w:p>
    <w:p w14:paraId="2BCF0CDE" w14:textId="77777777" w:rsidR="00721F02" w:rsidRPr="00721F02" w:rsidRDefault="00721F02" w:rsidP="00721F02">
      <w:pPr>
        <w:spacing w:after="0" w:line="240" w:lineRule="auto"/>
        <w:ind w:left="567" w:right="260"/>
        <w:rPr>
          <w:noProof/>
          <w:sz w:val="24"/>
          <w:szCs w:val="24"/>
        </w:rPr>
      </w:pPr>
      <w:r w:rsidRPr="00721F02">
        <w:rPr>
          <w:noProof/>
          <w:sz w:val="24"/>
          <w:szCs w:val="24"/>
        </w:rPr>
        <w:tab/>
      </w:r>
    </w:p>
    <w:p w14:paraId="412D63A2" w14:textId="77777777" w:rsidR="00721F02" w:rsidRPr="00721F02" w:rsidRDefault="00721F02" w:rsidP="00721F02">
      <w:pPr>
        <w:spacing w:after="0" w:line="240" w:lineRule="auto"/>
        <w:ind w:left="567" w:right="260"/>
        <w:rPr>
          <w:b/>
          <w:bCs/>
          <w:noProof/>
          <w:sz w:val="24"/>
          <w:szCs w:val="24"/>
        </w:rPr>
      </w:pPr>
      <w:r w:rsidRPr="00721F02">
        <w:rPr>
          <w:b/>
          <w:bCs/>
          <w:noProof/>
          <w:sz w:val="24"/>
          <w:szCs w:val="24"/>
        </w:rPr>
        <w:t>The knowledge and skills required</w:t>
      </w:r>
    </w:p>
    <w:p w14:paraId="05542688" w14:textId="77777777" w:rsidR="00721F02" w:rsidRPr="00721F02" w:rsidRDefault="00721F02" w:rsidP="00721F02">
      <w:pPr>
        <w:spacing w:after="0" w:line="240" w:lineRule="auto"/>
        <w:ind w:left="567" w:right="260"/>
        <w:rPr>
          <w:noProof/>
          <w:sz w:val="24"/>
          <w:szCs w:val="24"/>
        </w:rPr>
      </w:pPr>
    </w:p>
    <w:p w14:paraId="0856D95F" w14:textId="0FBB4AF7" w:rsidR="00721F02" w:rsidRPr="00721F02" w:rsidRDefault="00721F02" w:rsidP="00721F02">
      <w:pPr>
        <w:spacing w:after="0" w:line="240" w:lineRule="auto"/>
        <w:ind w:left="567" w:right="260"/>
        <w:rPr>
          <w:noProof/>
          <w:sz w:val="24"/>
          <w:szCs w:val="24"/>
        </w:rPr>
      </w:pPr>
      <w:r w:rsidRPr="00721F02">
        <w:rPr>
          <w:noProof/>
          <w:sz w:val="24"/>
          <w:szCs w:val="24"/>
        </w:rPr>
        <w:t xml:space="preserve">The advanced theoretical knowledge required to make appropriate judgements and decisions at this level is augmented by ongoing professional development and awareness of external legislative and societal change. Also, by a deeper understanding of the </w:t>
      </w:r>
      <w:r>
        <w:rPr>
          <w:noProof/>
          <w:sz w:val="24"/>
          <w:szCs w:val="24"/>
        </w:rPr>
        <w:t>city c</w:t>
      </w:r>
      <w:r w:rsidRPr="00721F02">
        <w:rPr>
          <w:noProof/>
          <w:sz w:val="24"/>
          <w:szCs w:val="24"/>
        </w:rPr>
        <w:t>ouncil operational structures which both support and depend upon the job holder’s actions and advice. Roles will be professional experts, providing guidance to those in earlier career stages.</w:t>
      </w:r>
    </w:p>
    <w:p w14:paraId="06DDBA34" w14:textId="77777777" w:rsidR="00721F02" w:rsidRDefault="00721F02" w:rsidP="00721F02">
      <w:pPr>
        <w:spacing w:after="0" w:line="240" w:lineRule="auto"/>
        <w:ind w:left="567" w:right="260"/>
        <w:rPr>
          <w:b/>
          <w:bCs/>
          <w:noProof/>
          <w:sz w:val="24"/>
          <w:szCs w:val="24"/>
        </w:rPr>
      </w:pPr>
    </w:p>
    <w:p w14:paraId="31D8251E" w14:textId="77777777" w:rsidR="00721F02" w:rsidRDefault="00721F02" w:rsidP="00721F02">
      <w:pPr>
        <w:spacing w:after="0" w:line="240" w:lineRule="auto"/>
        <w:ind w:left="567" w:right="260"/>
        <w:rPr>
          <w:b/>
          <w:bCs/>
          <w:noProof/>
          <w:sz w:val="24"/>
          <w:szCs w:val="24"/>
        </w:rPr>
      </w:pPr>
    </w:p>
    <w:p w14:paraId="543BACF4" w14:textId="77777777" w:rsidR="00721F02" w:rsidRDefault="00721F02" w:rsidP="00721F02">
      <w:pPr>
        <w:spacing w:after="0" w:line="240" w:lineRule="auto"/>
        <w:ind w:left="567" w:right="260"/>
        <w:rPr>
          <w:b/>
          <w:bCs/>
          <w:noProof/>
          <w:sz w:val="24"/>
          <w:szCs w:val="24"/>
        </w:rPr>
      </w:pPr>
    </w:p>
    <w:p w14:paraId="569F0E9D" w14:textId="77777777" w:rsidR="00721F02" w:rsidRDefault="00721F02" w:rsidP="00721F02">
      <w:pPr>
        <w:spacing w:after="0" w:line="240" w:lineRule="auto"/>
        <w:ind w:left="567" w:right="260"/>
        <w:rPr>
          <w:b/>
          <w:bCs/>
          <w:noProof/>
          <w:sz w:val="24"/>
          <w:szCs w:val="24"/>
        </w:rPr>
      </w:pPr>
    </w:p>
    <w:p w14:paraId="41083399" w14:textId="77777777" w:rsidR="00721F02" w:rsidRPr="00721F02" w:rsidRDefault="00721F02" w:rsidP="00721F02">
      <w:pPr>
        <w:spacing w:after="0" w:line="240" w:lineRule="auto"/>
        <w:ind w:left="567" w:right="260"/>
        <w:rPr>
          <w:b/>
          <w:bCs/>
          <w:noProof/>
          <w:sz w:val="24"/>
          <w:szCs w:val="24"/>
        </w:rPr>
      </w:pPr>
    </w:p>
    <w:p w14:paraId="033D0235" w14:textId="77777777" w:rsidR="00721F02" w:rsidRPr="00721F02" w:rsidRDefault="00721F02" w:rsidP="00721F02">
      <w:pPr>
        <w:spacing w:after="0" w:line="240" w:lineRule="auto"/>
        <w:ind w:left="567" w:right="260"/>
        <w:rPr>
          <w:b/>
          <w:bCs/>
          <w:noProof/>
          <w:sz w:val="24"/>
          <w:szCs w:val="24"/>
        </w:rPr>
      </w:pPr>
      <w:r w:rsidRPr="00721F02">
        <w:rPr>
          <w:b/>
          <w:bCs/>
          <w:noProof/>
          <w:sz w:val="24"/>
          <w:szCs w:val="24"/>
        </w:rPr>
        <w:lastRenderedPageBreak/>
        <w:t xml:space="preserve">Thinking, planning and communication </w:t>
      </w:r>
    </w:p>
    <w:p w14:paraId="568A7043" w14:textId="77777777" w:rsidR="00721F02" w:rsidRPr="00721F02" w:rsidRDefault="00721F02" w:rsidP="00721F02">
      <w:pPr>
        <w:spacing w:after="0" w:line="240" w:lineRule="auto"/>
        <w:ind w:left="567" w:right="260"/>
        <w:rPr>
          <w:noProof/>
          <w:sz w:val="24"/>
          <w:szCs w:val="24"/>
        </w:rPr>
      </w:pPr>
    </w:p>
    <w:p w14:paraId="18019F59" w14:textId="6FAF230F" w:rsidR="00721F02" w:rsidRPr="00721F02" w:rsidRDefault="00721F02" w:rsidP="00721F02">
      <w:pPr>
        <w:spacing w:after="0" w:line="240" w:lineRule="auto"/>
        <w:ind w:left="567" w:right="260"/>
        <w:rPr>
          <w:noProof/>
          <w:sz w:val="24"/>
          <w:szCs w:val="24"/>
        </w:rPr>
      </w:pPr>
      <w:r w:rsidRPr="00721F02">
        <w:rPr>
          <w:noProof/>
          <w:sz w:val="24"/>
          <w:szCs w:val="24"/>
        </w:rPr>
        <w:t xml:space="preserve">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w:t>
      </w:r>
      <w:r>
        <w:rPr>
          <w:noProof/>
          <w:sz w:val="24"/>
          <w:szCs w:val="24"/>
        </w:rPr>
        <w:t>s</w:t>
      </w:r>
      <w:r w:rsidRPr="00721F02">
        <w:rPr>
          <w:noProof/>
          <w:sz w:val="24"/>
          <w:szCs w:val="24"/>
        </w:rPr>
        <w:t>ervice management.</w:t>
      </w:r>
    </w:p>
    <w:p w14:paraId="114ADE1F" w14:textId="77777777" w:rsidR="00721F02" w:rsidRPr="00721F02" w:rsidRDefault="00721F02" w:rsidP="00721F02">
      <w:pPr>
        <w:spacing w:after="0" w:line="240" w:lineRule="auto"/>
        <w:ind w:left="567" w:right="260"/>
        <w:rPr>
          <w:noProof/>
          <w:sz w:val="24"/>
          <w:szCs w:val="24"/>
        </w:rPr>
      </w:pPr>
    </w:p>
    <w:p w14:paraId="191E527C" w14:textId="3E8C327A" w:rsidR="00721F02" w:rsidRPr="00721F02" w:rsidRDefault="00721F02" w:rsidP="00721F02">
      <w:pPr>
        <w:spacing w:after="0" w:line="240" w:lineRule="auto"/>
        <w:ind w:left="567" w:right="260"/>
        <w:rPr>
          <w:noProof/>
          <w:sz w:val="24"/>
          <w:szCs w:val="24"/>
        </w:rPr>
      </w:pPr>
      <w:r w:rsidRPr="00721F02">
        <w:rPr>
          <w:noProof/>
          <w:sz w:val="24"/>
          <w:szCs w:val="24"/>
        </w:rPr>
        <w:t>The information exchanged at this level will be routinely complex and even contentious in nature. Job holders will, however, have additional demands placed upon them by the need to persuade others to adopt courses of action they may not otherwise wish to take, based on evidence-based and reasoned argument. This will occur in written interactions but can also be the case in face-to-face verbal exchanges where job holders will advocate a position in response to opposing opinion in a formal or informal setting.</w:t>
      </w:r>
    </w:p>
    <w:p w14:paraId="3B4F3165" w14:textId="77777777" w:rsidR="00721F02" w:rsidRPr="00721F02" w:rsidRDefault="00721F02" w:rsidP="00721F02">
      <w:pPr>
        <w:spacing w:after="0" w:line="240" w:lineRule="auto"/>
        <w:ind w:left="567" w:right="260"/>
        <w:rPr>
          <w:noProof/>
          <w:sz w:val="24"/>
          <w:szCs w:val="24"/>
        </w:rPr>
      </w:pPr>
    </w:p>
    <w:p w14:paraId="6826BB11" w14:textId="77777777" w:rsidR="00721F02" w:rsidRPr="00721F02" w:rsidRDefault="00721F02" w:rsidP="00721F02">
      <w:pPr>
        <w:spacing w:after="0" w:line="240" w:lineRule="auto"/>
        <w:ind w:left="567" w:right="260"/>
        <w:rPr>
          <w:b/>
          <w:bCs/>
          <w:noProof/>
          <w:sz w:val="24"/>
          <w:szCs w:val="24"/>
        </w:rPr>
      </w:pPr>
      <w:r w:rsidRPr="00721F02">
        <w:rPr>
          <w:b/>
          <w:bCs/>
          <w:noProof/>
          <w:sz w:val="24"/>
          <w:szCs w:val="24"/>
        </w:rPr>
        <w:t>Decision making and innovation</w:t>
      </w:r>
    </w:p>
    <w:p w14:paraId="30E3710A" w14:textId="77777777" w:rsidR="00721F02" w:rsidRPr="00721F02" w:rsidRDefault="00721F02" w:rsidP="00721F02">
      <w:pPr>
        <w:spacing w:after="0" w:line="240" w:lineRule="auto"/>
        <w:ind w:left="567" w:right="260"/>
        <w:rPr>
          <w:noProof/>
          <w:sz w:val="24"/>
          <w:szCs w:val="24"/>
        </w:rPr>
      </w:pPr>
    </w:p>
    <w:p w14:paraId="20745BC2" w14:textId="77777777" w:rsidR="00721F02" w:rsidRPr="00721F02" w:rsidRDefault="00721F02" w:rsidP="00721F02">
      <w:pPr>
        <w:spacing w:after="0" w:line="240" w:lineRule="auto"/>
        <w:ind w:left="567" w:right="260"/>
        <w:rPr>
          <w:noProof/>
          <w:sz w:val="24"/>
          <w:szCs w:val="24"/>
        </w:rPr>
      </w:pPr>
      <w:r w:rsidRPr="00721F02">
        <w:rPr>
          <w:noProof/>
          <w:sz w:val="24"/>
          <w:szCs w:val="24"/>
        </w:rP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probably report to a Head of Service and will devise and implement strategic plans in relation to their specific functional area.</w:t>
      </w:r>
    </w:p>
    <w:p w14:paraId="2AF0F420" w14:textId="77777777" w:rsidR="00721F02" w:rsidRPr="00721F02" w:rsidRDefault="00721F02" w:rsidP="00721F02">
      <w:pPr>
        <w:spacing w:after="0" w:line="240" w:lineRule="auto"/>
        <w:ind w:left="567" w:right="260"/>
        <w:rPr>
          <w:noProof/>
          <w:sz w:val="24"/>
          <w:szCs w:val="24"/>
        </w:rPr>
      </w:pPr>
    </w:p>
    <w:p w14:paraId="78D23082" w14:textId="77777777" w:rsidR="00721F02" w:rsidRPr="00721F02" w:rsidRDefault="00721F02" w:rsidP="00721F02">
      <w:pPr>
        <w:spacing w:after="0" w:line="240" w:lineRule="auto"/>
        <w:ind w:left="567" w:right="260"/>
        <w:rPr>
          <w:b/>
          <w:bCs/>
          <w:noProof/>
          <w:sz w:val="24"/>
          <w:szCs w:val="24"/>
        </w:rPr>
      </w:pPr>
      <w:r w:rsidRPr="00721F02">
        <w:rPr>
          <w:b/>
          <w:bCs/>
          <w:noProof/>
          <w:sz w:val="24"/>
          <w:szCs w:val="24"/>
        </w:rPr>
        <w:t>Areas of responsibility</w:t>
      </w:r>
    </w:p>
    <w:p w14:paraId="329BF6F8" w14:textId="77777777" w:rsidR="00721F02" w:rsidRPr="00721F02" w:rsidRDefault="00721F02" w:rsidP="00721F02">
      <w:pPr>
        <w:spacing w:after="0" w:line="240" w:lineRule="auto"/>
        <w:ind w:left="567" w:right="260"/>
        <w:rPr>
          <w:noProof/>
          <w:sz w:val="24"/>
          <w:szCs w:val="24"/>
        </w:rPr>
      </w:pPr>
    </w:p>
    <w:p w14:paraId="245E58CB" w14:textId="77777777" w:rsidR="00721F02" w:rsidRPr="00721F02" w:rsidRDefault="00721F02" w:rsidP="00721F02">
      <w:pPr>
        <w:spacing w:after="0" w:line="240" w:lineRule="auto"/>
        <w:ind w:left="567" w:right="260"/>
        <w:rPr>
          <w:noProof/>
          <w:sz w:val="24"/>
          <w:szCs w:val="24"/>
        </w:rPr>
      </w:pPr>
      <w:r w:rsidRPr="00721F02">
        <w:rPr>
          <w:noProof/>
          <w:sz w:val="24"/>
          <w:szCs w:val="24"/>
        </w:rPr>
        <w:t>With a diverse range of jobs being represented at this level, the precise blend of responsibilities for which the job holder is accountable will depend upon the service in which they operate.</w:t>
      </w:r>
    </w:p>
    <w:p w14:paraId="52812F46" w14:textId="77777777" w:rsidR="00721F02" w:rsidRPr="00721F02" w:rsidRDefault="00721F02" w:rsidP="00721F02">
      <w:pPr>
        <w:spacing w:after="0" w:line="240" w:lineRule="auto"/>
        <w:ind w:left="567" w:right="260"/>
        <w:rPr>
          <w:noProof/>
          <w:sz w:val="24"/>
          <w:szCs w:val="24"/>
        </w:rPr>
      </w:pPr>
    </w:p>
    <w:p w14:paraId="40FF6DDE" w14:textId="77777777" w:rsidR="00721F02" w:rsidRPr="00721F02" w:rsidRDefault="00721F02" w:rsidP="00721F02">
      <w:pPr>
        <w:spacing w:after="0" w:line="240" w:lineRule="auto"/>
        <w:ind w:left="567" w:right="260"/>
        <w:rPr>
          <w:noProof/>
          <w:sz w:val="24"/>
          <w:szCs w:val="24"/>
        </w:rPr>
      </w:pPr>
      <w:r w:rsidRPr="00721F02">
        <w:rPr>
          <w:noProof/>
          <w:sz w:val="24"/>
          <w:szCs w:val="24"/>
        </w:rPr>
        <w:t>External facing roles will focus on the needs of people, whether external service users or partners and will be responsible for critical day to day decisions with legal and reputational dimensions.  Job holders will make a major contribution to the development of policy and functional procedures. Job holders will also lead the implementation of appropriate programmes on behalf of large groups of people.</w:t>
      </w:r>
    </w:p>
    <w:p w14:paraId="2226A488" w14:textId="77777777" w:rsidR="00721F02" w:rsidRPr="00721F02" w:rsidRDefault="00721F02" w:rsidP="00721F02">
      <w:pPr>
        <w:spacing w:after="0" w:line="240" w:lineRule="auto"/>
        <w:ind w:left="567" w:right="260"/>
        <w:rPr>
          <w:noProof/>
          <w:sz w:val="24"/>
          <w:szCs w:val="24"/>
        </w:rPr>
      </w:pPr>
    </w:p>
    <w:p w14:paraId="3F82C8CD" w14:textId="77777777" w:rsidR="00721F02" w:rsidRPr="00721F02" w:rsidRDefault="00721F02" w:rsidP="00721F02">
      <w:pPr>
        <w:spacing w:after="0" w:line="240" w:lineRule="auto"/>
        <w:ind w:left="567" w:right="260"/>
        <w:rPr>
          <w:noProof/>
          <w:sz w:val="24"/>
          <w:szCs w:val="24"/>
        </w:rPr>
      </w:pPr>
      <w:r w:rsidRPr="00721F02">
        <w:rPr>
          <w:noProof/>
          <w:sz w:val="24"/>
          <w:szCs w:val="24"/>
        </w:rPr>
        <w:t>Such roles are likely to have at least two other elevated levels of responsibility for such elements as finance (substantial budget management), information assets (statutory corporate databases and council-wide applications) or premises (of very high value and operational importance).</w:t>
      </w:r>
    </w:p>
    <w:p w14:paraId="175E40AF" w14:textId="77777777" w:rsidR="00721F02" w:rsidRPr="00721F02" w:rsidRDefault="00721F02" w:rsidP="00721F02">
      <w:pPr>
        <w:spacing w:after="0" w:line="240" w:lineRule="auto"/>
        <w:ind w:left="567" w:right="260"/>
        <w:rPr>
          <w:noProof/>
          <w:sz w:val="24"/>
          <w:szCs w:val="24"/>
        </w:rPr>
      </w:pPr>
    </w:p>
    <w:p w14:paraId="15E435BF" w14:textId="77777777" w:rsidR="00721F02" w:rsidRDefault="00721F02" w:rsidP="00721F02">
      <w:pPr>
        <w:spacing w:after="0" w:line="240" w:lineRule="auto"/>
        <w:ind w:left="567" w:right="260"/>
        <w:rPr>
          <w:noProof/>
          <w:sz w:val="24"/>
          <w:szCs w:val="24"/>
        </w:rPr>
      </w:pPr>
      <w:r w:rsidRPr="00721F02">
        <w:rPr>
          <w:noProof/>
          <w:sz w:val="24"/>
          <w:szCs w:val="24"/>
        </w:rPr>
        <w:t>Internal facing roles are likely to have this pattern reversed, with the weightiest responsibility for very high value or significant financial and non-financial assets including policy development, but somewhat less accountability for the assessment of group needs. Roles will have full line management responsibility over a number of teams with differing functional specialties and employee profiles.</w:t>
      </w:r>
    </w:p>
    <w:p w14:paraId="7EED1841" w14:textId="77777777" w:rsidR="00721F02" w:rsidRDefault="00721F02" w:rsidP="00721F02">
      <w:pPr>
        <w:spacing w:after="0" w:line="240" w:lineRule="auto"/>
        <w:ind w:left="567" w:right="260"/>
        <w:rPr>
          <w:noProof/>
          <w:sz w:val="24"/>
          <w:szCs w:val="24"/>
        </w:rPr>
      </w:pPr>
    </w:p>
    <w:p w14:paraId="6BB8F78D" w14:textId="77777777" w:rsidR="00721F02" w:rsidRDefault="00721F02" w:rsidP="00721F02">
      <w:pPr>
        <w:spacing w:after="0" w:line="240" w:lineRule="auto"/>
        <w:ind w:left="567" w:right="260"/>
        <w:rPr>
          <w:noProof/>
          <w:sz w:val="24"/>
          <w:szCs w:val="24"/>
        </w:rPr>
      </w:pPr>
    </w:p>
    <w:p w14:paraId="72267CF7" w14:textId="38EE4BDD" w:rsidR="00721F02" w:rsidRDefault="00721F02" w:rsidP="00721F02">
      <w:pPr>
        <w:spacing w:after="0" w:line="240" w:lineRule="auto"/>
        <w:ind w:left="567" w:right="260"/>
        <w:rPr>
          <w:noProof/>
          <w:sz w:val="24"/>
          <w:szCs w:val="24"/>
        </w:rPr>
      </w:pPr>
    </w:p>
    <w:p w14:paraId="627FBEA2" w14:textId="77777777" w:rsidR="00721F02" w:rsidRPr="00721F02" w:rsidRDefault="00721F02" w:rsidP="00721F02">
      <w:pPr>
        <w:spacing w:after="0" w:line="240" w:lineRule="auto"/>
        <w:ind w:left="567" w:right="260"/>
        <w:rPr>
          <w:noProof/>
          <w:sz w:val="24"/>
          <w:szCs w:val="24"/>
        </w:rPr>
      </w:pPr>
    </w:p>
    <w:p w14:paraId="6EEE8E64" w14:textId="77777777" w:rsidR="00721F02" w:rsidRPr="00721F02" w:rsidRDefault="00721F02" w:rsidP="00721F02">
      <w:pPr>
        <w:spacing w:after="0" w:line="240" w:lineRule="auto"/>
        <w:ind w:left="567" w:right="260"/>
        <w:rPr>
          <w:noProof/>
          <w:sz w:val="24"/>
          <w:szCs w:val="24"/>
        </w:rPr>
      </w:pPr>
    </w:p>
    <w:p w14:paraId="50D98066" w14:textId="77777777" w:rsidR="00721F02" w:rsidRPr="00721F02" w:rsidRDefault="00721F02" w:rsidP="00721F02">
      <w:pPr>
        <w:spacing w:after="0" w:line="240" w:lineRule="auto"/>
        <w:ind w:left="567" w:right="260"/>
        <w:rPr>
          <w:b/>
          <w:bCs/>
          <w:noProof/>
          <w:sz w:val="24"/>
          <w:szCs w:val="24"/>
        </w:rPr>
      </w:pPr>
      <w:r w:rsidRPr="00721F02">
        <w:rPr>
          <w:b/>
          <w:bCs/>
          <w:noProof/>
          <w:sz w:val="24"/>
          <w:szCs w:val="24"/>
        </w:rPr>
        <w:lastRenderedPageBreak/>
        <w:t>Impacts and demands</w:t>
      </w:r>
    </w:p>
    <w:p w14:paraId="431F9C73" w14:textId="77777777" w:rsidR="00721F02" w:rsidRPr="00721F02" w:rsidRDefault="00721F02" w:rsidP="00721F02">
      <w:pPr>
        <w:spacing w:after="0" w:line="240" w:lineRule="auto"/>
        <w:ind w:left="567" w:right="260"/>
        <w:rPr>
          <w:noProof/>
          <w:sz w:val="24"/>
          <w:szCs w:val="24"/>
        </w:rPr>
      </w:pPr>
    </w:p>
    <w:p w14:paraId="2EC1C7FD" w14:textId="77777777" w:rsidR="00721F02" w:rsidRPr="00721F02" w:rsidRDefault="00721F02" w:rsidP="00721F02">
      <w:pPr>
        <w:spacing w:after="0" w:line="240" w:lineRule="auto"/>
        <w:ind w:left="567" w:right="260"/>
        <w:rPr>
          <w:noProof/>
          <w:sz w:val="24"/>
          <w:szCs w:val="24"/>
        </w:rPr>
      </w:pPr>
      <w:r w:rsidRPr="00721F02">
        <w:rPr>
          <w:noProof/>
          <w:sz w:val="24"/>
          <w:szCs w:val="24"/>
        </w:rPr>
        <w:t>Tasks and duties will be generally carried out in a sedentary position but there will always be a requirement for standing and walking from time to time, and the occasional need to lift or carry items.</w:t>
      </w:r>
    </w:p>
    <w:p w14:paraId="5B21F114" w14:textId="77777777" w:rsidR="00721F02" w:rsidRPr="00721F02" w:rsidRDefault="00721F02" w:rsidP="00721F02">
      <w:pPr>
        <w:spacing w:after="0" w:line="240" w:lineRule="auto"/>
        <w:ind w:left="567" w:right="260"/>
        <w:rPr>
          <w:noProof/>
          <w:sz w:val="24"/>
          <w:szCs w:val="24"/>
        </w:rPr>
      </w:pPr>
    </w:p>
    <w:p w14:paraId="402A60A3" w14:textId="77777777" w:rsidR="00721F02" w:rsidRPr="00721F02" w:rsidRDefault="00721F02" w:rsidP="00721F02">
      <w:pPr>
        <w:spacing w:after="0" w:line="240" w:lineRule="auto"/>
        <w:ind w:left="567" w:right="260"/>
        <w:rPr>
          <w:noProof/>
          <w:sz w:val="24"/>
          <w:szCs w:val="24"/>
        </w:rPr>
      </w:pPr>
      <w:r w:rsidRPr="00721F02">
        <w:rPr>
          <w:noProof/>
          <w:sz w:val="24"/>
          <w:szCs w:val="24"/>
        </w:rPr>
        <w:t>The combination of both tactical and strategic matters that job holders deal with means that roles are inherently very complex, demanding of particularly lengthy periods of concentrated mental attention while also managing very high levels of work.</w:t>
      </w:r>
    </w:p>
    <w:p w14:paraId="34CA14EC" w14:textId="77777777" w:rsidR="00721F02" w:rsidRPr="00721F02" w:rsidRDefault="00721F02" w:rsidP="00721F02">
      <w:pPr>
        <w:spacing w:after="0" w:line="240" w:lineRule="auto"/>
        <w:ind w:left="567" w:right="260"/>
        <w:rPr>
          <w:noProof/>
          <w:sz w:val="24"/>
          <w:szCs w:val="24"/>
        </w:rPr>
      </w:pPr>
    </w:p>
    <w:p w14:paraId="4791750E" w14:textId="77777777" w:rsidR="00721F02" w:rsidRPr="00721F02" w:rsidRDefault="00721F02" w:rsidP="00721F02">
      <w:pPr>
        <w:spacing w:after="0" w:line="240" w:lineRule="auto"/>
        <w:ind w:left="567" w:right="260"/>
        <w:rPr>
          <w:noProof/>
          <w:sz w:val="24"/>
          <w:szCs w:val="24"/>
        </w:rPr>
      </w:pPr>
      <w:r w:rsidRPr="00721F02">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32447354" w14:textId="77777777" w:rsidR="00721F02" w:rsidRPr="00721F02" w:rsidRDefault="00721F02" w:rsidP="00721F02">
      <w:pPr>
        <w:spacing w:after="0" w:line="240" w:lineRule="auto"/>
        <w:ind w:left="567" w:right="260"/>
        <w:rPr>
          <w:noProof/>
          <w:sz w:val="24"/>
          <w:szCs w:val="24"/>
        </w:rPr>
      </w:pPr>
    </w:p>
    <w:p w14:paraId="07091DCF" w14:textId="5684AF37" w:rsidR="00721F02" w:rsidRPr="00721F02" w:rsidRDefault="00721F02" w:rsidP="00721F02">
      <w:pPr>
        <w:spacing w:after="0" w:line="240" w:lineRule="auto"/>
        <w:ind w:left="567" w:right="260"/>
        <w:rPr>
          <w:noProof/>
          <w:sz w:val="24"/>
          <w:szCs w:val="24"/>
        </w:rPr>
      </w:pPr>
      <w:r w:rsidRPr="00721F02">
        <w:rPr>
          <w:noProof/>
          <w:sz w:val="24"/>
          <w:szCs w:val="24"/>
        </w:rPr>
        <w:t xml:space="preserve">Many Professional </w:t>
      </w:r>
      <w:r>
        <w:rPr>
          <w:noProof/>
          <w:sz w:val="24"/>
          <w:szCs w:val="24"/>
        </w:rPr>
        <w:t>and</w:t>
      </w:r>
      <w:r w:rsidRPr="00721F02">
        <w:rPr>
          <w:noProof/>
          <w:sz w:val="24"/>
          <w:szCs w:val="24"/>
        </w:rPr>
        <w:t xml:space="preserve">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w:t>
      </w:r>
    </w:p>
    <w:p w14:paraId="03C93BD6" w14:textId="77777777" w:rsidR="00721F02" w:rsidRPr="00721F02" w:rsidRDefault="00721F02" w:rsidP="00721F02">
      <w:pPr>
        <w:spacing w:after="0" w:line="240" w:lineRule="auto"/>
        <w:ind w:left="567" w:right="260"/>
        <w:rPr>
          <w:noProof/>
          <w:sz w:val="24"/>
          <w:szCs w:val="24"/>
        </w:rPr>
      </w:pPr>
    </w:p>
    <w:p w14:paraId="035F6419" w14:textId="5A09259B" w:rsidR="0017540B" w:rsidRPr="00EB5244" w:rsidRDefault="00721F02" w:rsidP="00721F02">
      <w:pPr>
        <w:spacing w:after="0" w:line="240" w:lineRule="auto"/>
        <w:ind w:left="567" w:right="260"/>
        <w:rPr>
          <w:noProof/>
          <w:sz w:val="24"/>
          <w:szCs w:val="24"/>
        </w:rPr>
      </w:pPr>
      <w:r w:rsidRPr="00721F02">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AC2F" w14:textId="77777777" w:rsidR="001746E1" w:rsidRDefault="001746E1" w:rsidP="00F45CF3">
      <w:pPr>
        <w:spacing w:after="0" w:line="240" w:lineRule="auto"/>
      </w:pPr>
      <w:r>
        <w:separator/>
      </w:r>
    </w:p>
  </w:endnote>
  <w:endnote w:type="continuationSeparator" w:id="0">
    <w:p w14:paraId="082A5E1A" w14:textId="77777777" w:rsidR="001746E1" w:rsidRDefault="001746E1"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773F3" w14:textId="77777777" w:rsidR="001746E1" w:rsidRDefault="001746E1" w:rsidP="00F45CF3">
      <w:pPr>
        <w:spacing w:after="0" w:line="240" w:lineRule="auto"/>
      </w:pPr>
      <w:r>
        <w:separator/>
      </w:r>
    </w:p>
  </w:footnote>
  <w:footnote w:type="continuationSeparator" w:id="0">
    <w:p w14:paraId="62AA2103" w14:textId="77777777" w:rsidR="001746E1" w:rsidRDefault="001746E1"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BE79B"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NkE0iFvzmGSMUAUsePYQlbgS7kXXHXF6g1h4KrvkNoVXYY+cIRKPrP57VmVSKBGryiMpiFaSnBOzt8fFLNB4fg==" w:salt="nnJe7imcKeoSnMnDLQEa8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D2837"/>
    <w:rsid w:val="000D3426"/>
    <w:rsid w:val="000E205B"/>
    <w:rsid w:val="00114788"/>
    <w:rsid w:val="001149A0"/>
    <w:rsid w:val="001162B1"/>
    <w:rsid w:val="001164D0"/>
    <w:rsid w:val="0012023B"/>
    <w:rsid w:val="00123AB2"/>
    <w:rsid w:val="00142CC7"/>
    <w:rsid w:val="0016309D"/>
    <w:rsid w:val="00163709"/>
    <w:rsid w:val="001746E1"/>
    <w:rsid w:val="0017540B"/>
    <w:rsid w:val="001965A4"/>
    <w:rsid w:val="001C1745"/>
    <w:rsid w:val="001C40EB"/>
    <w:rsid w:val="001C79E6"/>
    <w:rsid w:val="001D6970"/>
    <w:rsid w:val="001F4958"/>
    <w:rsid w:val="001F5934"/>
    <w:rsid w:val="00204E21"/>
    <w:rsid w:val="00214A0D"/>
    <w:rsid w:val="002216F3"/>
    <w:rsid w:val="002248CB"/>
    <w:rsid w:val="00262AD4"/>
    <w:rsid w:val="00284DB2"/>
    <w:rsid w:val="00285724"/>
    <w:rsid w:val="00293B2A"/>
    <w:rsid w:val="00295940"/>
    <w:rsid w:val="00303BE8"/>
    <w:rsid w:val="00314480"/>
    <w:rsid w:val="00320744"/>
    <w:rsid w:val="00324644"/>
    <w:rsid w:val="00347175"/>
    <w:rsid w:val="0036263D"/>
    <w:rsid w:val="0037254F"/>
    <w:rsid w:val="003732C0"/>
    <w:rsid w:val="00385034"/>
    <w:rsid w:val="00387D3F"/>
    <w:rsid w:val="00391248"/>
    <w:rsid w:val="00393041"/>
    <w:rsid w:val="003A673A"/>
    <w:rsid w:val="003C2084"/>
    <w:rsid w:val="003D4F55"/>
    <w:rsid w:val="003E7ED5"/>
    <w:rsid w:val="003F2E21"/>
    <w:rsid w:val="00407342"/>
    <w:rsid w:val="004173D7"/>
    <w:rsid w:val="004407D7"/>
    <w:rsid w:val="00446ACC"/>
    <w:rsid w:val="004545CB"/>
    <w:rsid w:val="004867A9"/>
    <w:rsid w:val="004B27E7"/>
    <w:rsid w:val="004B30AF"/>
    <w:rsid w:val="004B7C10"/>
    <w:rsid w:val="004D4300"/>
    <w:rsid w:val="004E0326"/>
    <w:rsid w:val="004F158D"/>
    <w:rsid w:val="00511E1C"/>
    <w:rsid w:val="00524ECB"/>
    <w:rsid w:val="00525EB5"/>
    <w:rsid w:val="0055227E"/>
    <w:rsid w:val="005614A5"/>
    <w:rsid w:val="005907E5"/>
    <w:rsid w:val="005A37D6"/>
    <w:rsid w:val="005D75C4"/>
    <w:rsid w:val="005F2036"/>
    <w:rsid w:val="005F2CFE"/>
    <w:rsid w:val="00606A87"/>
    <w:rsid w:val="00623D69"/>
    <w:rsid w:val="00634FD0"/>
    <w:rsid w:val="00637D75"/>
    <w:rsid w:val="00643E56"/>
    <w:rsid w:val="00644957"/>
    <w:rsid w:val="0064697A"/>
    <w:rsid w:val="006661AD"/>
    <w:rsid w:val="006912B8"/>
    <w:rsid w:val="006C3E21"/>
    <w:rsid w:val="006D7B3F"/>
    <w:rsid w:val="006D7CC1"/>
    <w:rsid w:val="006E12F9"/>
    <w:rsid w:val="00706A7E"/>
    <w:rsid w:val="00711754"/>
    <w:rsid w:val="007201E4"/>
    <w:rsid w:val="00721F02"/>
    <w:rsid w:val="00736173"/>
    <w:rsid w:val="00740952"/>
    <w:rsid w:val="0076639E"/>
    <w:rsid w:val="00787181"/>
    <w:rsid w:val="00795BC3"/>
    <w:rsid w:val="007A59C9"/>
    <w:rsid w:val="007B1B1B"/>
    <w:rsid w:val="007B2BFE"/>
    <w:rsid w:val="007B7D30"/>
    <w:rsid w:val="007D5B8B"/>
    <w:rsid w:val="007D5DF9"/>
    <w:rsid w:val="007E4EA3"/>
    <w:rsid w:val="007E734C"/>
    <w:rsid w:val="007F5609"/>
    <w:rsid w:val="0080317F"/>
    <w:rsid w:val="008042DF"/>
    <w:rsid w:val="008347F0"/>
    <w:rsid w:val="008416E5"/>
    <w:rsid w:val="00844611"/>
    <w:rsid w:val="00851843"/>
    <w:rsid w:val="008708B5"/>
    <w:rsid w:val="008822B6"/>
    <w:rsid w:val="00882F7E"/>
    <w:rsid w:val="00890ABB"/>
    <w:rsid w:val="008A087E"/>
    <w:rsid w:val="008A3763"/>
    <w:rsid w:val="008A7275"/>
    <w:rsid w:val="008B4CF5"/>
    <w:rsid w:val="008B6A35"/>
    <w:rsid w:val="008C190C"/>
    <w:rsid w:val="008E461A"/>
    <w:rsid w:val="009330EB"/>
    <w:rsid w:val="0094093A"/>
    <w:rsid w:val="00954ED6"/>
    <w:rsid w:val="009657AB"/>
    <w:rsid w:val="009675BD"/>
    <w:rsid w:val="009763D4"/>
    <w:rsid w:val="00983D5F"/>
    <w:rsid w:val="009A58DA"/>
    <w:rsid w:val="009E1D5B"/>
    <w:rsid w:val="00A5170B"/>
    <w:rsid w:val="00A55C93"/>
    <w:rsid w:val="00A833D7"/>
    <w:rsid w:val="00A93AC9"/>
    <w:rsid w:val="00AB021E"/>
    <w:rsid w:val="00AC24A8"/>
    <w:rsid w:val="00AD6D80"/>
    <w:rsid w:val="00AF1785"/>
    <w:rsid w:val="00B01282"/>
    <w:rsid w:val="00B03B56"/>
    <w:rsid w:val="00B0528E"/>
    <w:rsid w:val="00B11C31"/>
    <w:rsid w:val="00B350BA"/>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B2D31"/>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846B5"/>
    <w:rsid w:val="00D91D0A"/>
    <w:rsid w:val="00D9351C"/>
    <w:rsid w:val="00DC1160"/>
    <w:rsid w:val="00DE26A9"/>
    <w:rsid w:val="00DF6965"/>
    <w:rsid w:val="00E12DD9"/>
    <w:rsid w:val="00E14936"/>
    <w:rsid w:val="00E227ED"/>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7402"/>
    <w:rsid w:val="00FC594A"/>
    <w:rsid w:val="00FC5C8E"/>
    <w:rsid w:val="00FD0BD7"/>
    <w:rsid w:val="00FE0F3F"/>
    <w:rsid w:val="00FE6C9A"/>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14913363-1B6B-41E6-B5AE-B5CA50014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94C693-A257-4B34-B59F-815705A3FD9B}">
  <ds:schemaRefs>
    <ds:schemaRef ds:uri="http://purl.org/dc/dcmitype/"/>
    <ds:schemaRef ds:uri="http://schemas.microsoft.com/office/2006/documentManagement/types"/>
    <ds:schemaRef ds:uri="http://schemas.microsoft.com/office/infopath/2007/PartnerControls"/>
    <ds:schemaRef ds:uri="http://purl.org/dc/elements/1.1/"/>
    <ds:schemaRef ds:uri="http://www.w3.org/XML/1998/namespace"/>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31DD645C-ACE7-4A6F-9E0B-0D83ABC581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Jan Howard</cp:lastModifiedBy>
  <cp:revision>12</cp:revision>
  <cp:lastPrinted>2024-04-12T17:00:00Z</cp:lastPrinted>
  <dcterms:created xsi:type="dcterms:W3CDTF">2024-04-22T11:09:00Z</dcterms:created>
  <dcterms:modified xsi:type="dcterms:W3CDTF">2024-05-14T08:53:00Z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