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C141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>ROLE PROFILE</w:t>
      </w:r>
      <w:r>
        <w:rPr>
          <w:rFonts w:ascii="Arial" w:hAnsi="Arial" w:cs="Arial"/>
          <w:b/>
        </w:rPr>
        <w:tab/>
      </w:r>
    </w:p>
    <w:p w14:paraId="7795AB75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3DFA755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Pr="000F3FFF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Public Health Practitioner Workplace Health and</w:t>
      </w:r>
    </w:p>
    <w:p w14:paraId="76233D38" w14:textId="77777777" w:rsidR="002868FF" w:rsidRDefault="002868FF" w:rsidP="002868FF">
      <w:pPr>
        <w:ind w:left="1440" w:firstLine="720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Worklessness</w:t>
      </w:r>
    </w:p>
    <w:p w14:paraId="40F08947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66CF2D0D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Service Group: </w:t>
      </w:r>
      <w:r>
        <w:rPr>
          <w:rFonts w:ascii="Arial" w:hAnsi="Arial" w:cs="Arial"/>
          <w:b/>
        </w:rPr>
        <w:tab/>
        <w:t>Public Health</w:t>
      </w:r>
    </w:p>
    <w:p w14:paraId="350037C5" w14:textId="77777777" w:rsidR="002868FF" w:rsidRPr="000F3FFF" w:rsidRDefault="002868FF" w:rsidP="002868FF">
      <w:pPr>
        <w:jc w:val="left"/>
        <w:rPr>
          <w:rFonts w:ascii="Arial" w:hAnsi="Arial" w:cs="Arial"/>
          <w:b/>
        </w:rPr>
      </w:pPr>
    </w:p>
    <w:p w14:paraId="6468578E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>Accountable to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Public Health Principal Workplace Health and Worklessness</w:t>
      </w:r>
    </w:p>
    <w:p w14:paraId="11F3DE5F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53A698AF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MKC G </w:t>
      </w:r>
    </w:p>
    <w:p w14:paraId="393C57ED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5B05FD95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January 2022</w:t>
      </w:r>
    </w:p>
    <w:p w14:paraId="0FDE18D8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566BD688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 code: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JE1089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Competency Level: 2</w:t>
      </w:r>
    </w:p>
    <w:p w14:paraId="021204DD" w14:textId="77777777" w:rsidR="002868FF" w:rsidRPr="000F3FFF" w:rsidRDefault="002868FF" w:rsidP="002868FF">
      <w:pPr>
        <w:pBdr>
          <w:bottom w:val="single" w:sz="6" w:space="1" w:color="auto"/>
        </w:pBdr>
        <w:jc w:val="left"/>
        <w:rPr>
          <w:rFonts w:ascii="Arial" w:hAnsi="Arial" w:cs="Arial"/>
          <w:b/>
        </w:rPr>
      </w:pPr>
    </w:p>
    <w:p w14:paraId="08514384" w14:textId="77777777" w:rsidR="002868FF" w:rsidRPr="000F3FFF" w:rsidRDefault="002868FF" w:rsidP="002868FF">
      <w:pPr>
        <w:jc w:val="left"/>
        <w:rPr>
          <w:rFonts w:ascii="Arial" w:hAnsi="Arial" w:cs="Arial"/>
          <w:b/>
        </w:rPr>
      </w:pPr>
    </w:p>
    <w:p w14:paraId="3097DF65" w14:textId="77777777" w:rsidR="002868FF" w:rsidRPr="000F3FFF" w:rsidRDefault="002868FF" w:rsidP="002868FF">
      <w:pPr>
        <w:tabs>
          <w:tab w:val="left" w:pos="1440"/>
        </w:tabs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 xml:space="preserve">Purpose of job   </w:t>
      </w:r>
    </w:p>
    <w:p w14:paraId="4D61F841" w14:textId="77777777" w:rsidR="002868FF" w:rsidRPr="000F3FFF" w:rsidRDefault="002868FF" w:rsidP="002868FF">
      <w:pPr>
        <w:tabs>
          <w:tab w:val="left" w:pos="1440"/>
        </w:tabs>
        <w:jc w:val="left"/>
        <w:outlineLvl w:val="0"/>
        <w:rPr>
          <w:rFonts w:ascii="Arial" w:hAnsi="Arial" w:cs="Arial"/>
        </w:rPr>
      </w:pPr>
    </w:p>
    <w:p w14:paraId="427DA6A6" w14:textId="77777777" w:rsidR="002868FF" w:rsidRPr="000F3FFF" w:rsidRDefault="002868FF" w:rsidP="002868FF">
      <w:pPr>
        <w:tabs>
          <w:tab w:val="left" w:pos="1440"/>
        </w:tabs>
        <w:jc w:val="left"/>
        <w:outlineLvl w:val="0"/>
        <w:rPr>
          <w:rFonts w:ascii="Arial" w:hAnsi="Arial" w:cs="Arial"/>
        </w:rPr>
      </w:pPr>
      <w:r w:rsidRPr="00A8606E">
        <w:rPr>
          <w:rFonts w:ascii="Arial" w:hAnsi="Arial" w:cs="Arial"/>
        </w:rPr>
        <w:t xml:space="preserve">To contribute to the strategic development, planning, implementation and evaluation of specific </w:t>
      </w:r>
      <w:r>
        <w:rPr>
          <w:rFonts w:ascii="Arial" w:hAnsi="Arial" w:cs="Arial"/>
        </w:rPr>
        <w:t xml:space="preserve">Public Health </w:t>
      </w:r>
      <w:r w:rsidRPr="00A8606E">
        <w:rPr>
          <w:rFonts w:ascii="Arial" w:hAnsi="Arial" w:cs="Arial"/>
        </w:rPr>
        <w:t>programmes</w:t>
      </w:r>
      <w:r>
        <w:rPr>
          <w:rFonts w:ascii="Arial" w:hAnsi="Arial" w:cs="Arial"/>
        </w:rPr>
        <w:t xml:space="preserve"> </w:t>
      </w:r>
      <w:r w:rsidRPr="00A8606E">
        <w:rPr>
          <w:rFonts w:ascii="Arial" w:hAnsi="Arial" w:cs="Arial"/>
        </w:rPr>
        <w:t>and initiatives</w:t>
      </w:r>
      <w:r>
        <w:rPr>
          <w:rFonts w:ascii="Arial" w:hAnsi="Arial" w:cs="Arial"/>
        </w:rPr>
        <w:t xml:space="preserve"> relating to workplace health, wellbeing and worklessness, </w:t>
      </w:r>
      <w:r w:rsidRPr="00A8606E">
        <w:rPr>
          <w:rFonts w:ascii="Arial" w:hAnsi="Arial" w:cs="Arial"/>
        </w:rPr>
        <w:t>to improve health outcomes</w:t>
      </w:r>
      <w:r>
        <w:rPr>
          <w:rFonts w:ascii="Arial" w:hAnsi="Arial" w:cs="Arial"/>
        </w:rPr>
        <w:t xml:space="preserve"> and reduce health inequalities across Milton Keynes, Bedford Borough and Central Bedfordshire</w:t>
      </w:r>
    </w:p>
    <w:p w14:paraId="696F05F8" w14:textId="77777777" w:rsidR="002868FF" w:rsidRPr="000F3FFF" w:rsidRDefault="002868FF" w:rsidP="002868FF">
      <w:pPr>
        <w:tabs>
          <w:tab w:val="left" w:pos="1440"/>
        </w:tabs>
        <w:jc w:val="left"/>
        <w:outlineLvl w:val="0"/>
        <w:rPr>
          <w:rFonts w:ascii="Arial" w:hAnsi="Arial" w:cs="Arial"/>
        </w:rPr>
      </w:pPr>
    </w:p>
    <w:p w14:paraId="6344E8DD" w14:textId="77777777" w:rsidR="002868FF" w:rsidRPr="000F3FFF" w:rsidRDefault="002868FF" w:rsidP="002868FF">
      <w:pPr>
        <w:tabs>
          <w:tab w:val="left" w:pos="1440"/>
        </w:tabs>
        <w:jc w:val="left"/>
        <w:outlineLvl w:val="0"/>
        <w:rPr>
          <w:rFonts w:ascii="Arial" w:hAnsi="Arial" w:cs="Arial"/>
        </w:rPr>
      </w:pPr>
    </w:p>
    <w:p w14:paraId="65A64418" w14:textId="77777777" w:rsidR="002868FF" w:rsidRPr="000F3FFF" w:rsidRDefault="002868FF" w:rsidP="002868FF">
      <w:pPr>
        <w:jc w:val="left"/>
        <w:outlineLvl w:val="0"/>
        <w:rPr>
          <w:rFonts w:ascii="Arial" w:hAnsi="Arial" w:cs="Arial"/>
        </w:rPr>
      </w:pPr>
      <w:r w:rsidRPr="000F3FFF">
        <w:rPr>
          <w:rFonts w:ascii="Arial" w:hAnsi="Arial" w:cs="Arial"/>
          <w:b/>
        </w:rPr>
        <w:t xml:space="preserve">Key Objectives </w:t>
      </w:r>
    </w:p>
    <w:p w14:paraId="368F3672" w14:textId="77777777" w:rsidR="002868FF" w:rsidRPr="000F3FFF" w:rsidRDefault="002868FF" w:rsidP="002868FF">
      <w:pPr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8548"/>
      </w:tblGrid>
      <w:tr w:rsidR="002868FF" w:rsidRPr="00F06E69" w14:paraId="74281F60" w14:textId="77777777" w:rsidTr="00AA5D45">
        <w:trPr>
          <w:trHeight w:val="520"/>
        </w:trPr>
        <w:tc>
          <w:tcPr>
            <w:tcW w:w="360" w:type="dxa"/>
            <w:shd w:val="clear" w:color="auto" w:fill="auto"/>
            <w:vAlign w:val="center"/>
          </w:tcPr>
          <w:p w14:paraId="2F287235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14:paraId="3DB216F9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150A62">
              <w:rPr>
                <w:rFonts w:ascii="Arial" w:hAnsi="Arial" w:cs="Arial"/>
              </w:rPr>
              <w:t xml:space="preserve">To design and manage programmes and projects to improve health and reduce health inequalities particularly in services relating to workplace health, wellbeing and worklessness </w:t>
            </w:r>
          </w:p>
        </w:tc>
      </w:tr>
      <w:tr w:rsidR="002868FF" w:rsidRPr="00F06E69" w14:paraId="389EFCD4" w14:textId="77777777" w:rsidTr="00AA5D45">
        <w:trPr>
          <w:trHeight w:val="520"/>
        </w:trPr>
        <w:tc>
          <w:tcPr>
            <w:tcW w:w="360" w:type="dxa"/>
            <w:shd w:val="clear" w:color="auto" w:fill="auto"/>
            <w:vAlign w:val="center"/>
          </w:tcPr>
          <w:p w14:paraId="4248ACAC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14:paraId="791513A1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150A62">
              <w:rPr>
                <w:rFonts w:ascii="Arial" w:hAnsi="Arial" w:cs="Arial"/>
              </w:rPr>
              <w:t xml:space="preserve">To communicate with others to improve health outcomes and reduce health inequalities </w:t>
            </w:r>
            <w:r>
              <w:rPr>
                <w:rFonts w:ascii="Arial" w:hAnsi="Arial" w:cs="Arial"/>
              </w:rPr>
              <w:t>in the working age population</w:t>
            </w:r>
          </w:p>
        </w:tc>
      </w:tr>
      <w:tr w:rsidR="002868FF" w:rsidRPr="00F06E69" w14:paraId="50811070" w14:textId="77777777" w:rsidTr="00AA5D45">
        <w:trPr>
          <w:trHeight w:val="520"/>
        </w:trPr>
        <w:tc>
          <w:tcPr>
            <w:tcW w:w="360" w:type="dxa"/>
            <w:shd w:val="clear" w:color="auto" w:fill="auto"/>
            <w:vAlign w:val="center"/>
          </w:tcPr>
          <w:p w14:paraId="465615E0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14:paraId="6F920970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collaboratively across agencies and boundaries to improve health outcomes and reduce health inequalities in the working age population</w:t>
            </w:r>
          </w:p>
        </w:tc>
      </w:tr>
      <w:tr w:rsidR="002868FF" w:rsidRPr="00F06E69" w14:paraId="3CE1B1D7" w14:textId="77777777" w:rsidTr="00AA5D45">
        <w:trPr>
          <w:trHeight w:val="520"/>
        </w:trPr>
        <w:tc>
          <w:tcPr>
            <w:tcW w:w="360" w:type="dxa"/>
            <w:shd w:val="clear" w:color="auto" w:fill="auto"/>
            <w:vAlign w:val="center"/>
          </w:tcPr>
          <w:p w14:paraId="0260712F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14:paraId="48E2B90B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A8606E">
              <w:rPr>
                <w:rFonts w:ascii="Arial" w:hAnsi="Arial" w:cs="Arial"/>
              </w:rPr>
              <w:t xml:space="preserve">To work with and through policies and strategies to improve health outcomes and reduce health inequalities, particularly </w:t>
            </w:r>
            <w:proofErr w:type="gramStart"/>
            <w:r w:rsidRPr="00A8606E">
              <w:rPr>
                <w:rFonts w:ascii="Arial" w:hAnsi="Arial" w:cs="Arial"/>
              </w:rPr>
              <w:t>in the area of</w:t>
            </w:r>
            <w:proofErr w:type="gramEnd"/>
            <w:r w:rsidRPr="00A860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workplace health, wellbeing and worklessness</w:t>
            </w:r>
            <w:r w:rsidRPr="00A8606E" w:rsidDel="00150A62">
              <w:rPr>
                <w:rFonts w:ascii="Arial" w:hAnsi="Arial" w:cs="Arial"/>
              </w:rPr>
              <w:t xml:space="preserve"> </w:t>
            </w:r>
          </w:p>
        </w:tc>
      </w:tr>
      <w:tr w:rsidR="002868FF" w:rsidRPr="00F06E69" w14:paraId="2AC3681B" w14:textId="77777777" w:rsidTr="00AA5D45">
        <w:trPr>
          <w:trHeight w:val="520"/>
        </w:trPr>
        <w:tc>
          <w:tcPr>
            <w:tcW w:w="360" w:type="dxa"/>
            <w:shd w:val="clear" w:color="auto" w:fill="auto"/>
            <w:vAlign w:val="center"/>
          </w:tcPr>
          <w:p w14:paraId="39706397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14:paraId="27A97392" w14:textId="77777777" w:rsidR="002868FF" w:rsidRPr="00F06E69" w:rsidRDefault="002868FF" w:rsidP="00AA5D4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</w:t>
            </w:r>
            <w:r w:rsidRPr="00A8606E">
              <w:rPr>
                <w:rFonts w:ascii="Arial" w:hAnsi="Arial" w:cs="Arial"/>
              </w:rPr>
              <w:t xml:space="preserve">o measure, monitor and report population health and wellbeing; health needs, risks and inequalities; and use of services </w:t>
            </w:r>
            <w:r>
              <w:rPr>
                <w:rFonts w:ascii="Arial" w:hAnsi="Arial" w:cs="Arial"/>
              </w:rPr>
              <w:t>relating to workplace health, wellbeing and worklessness</w:t>
            </w:r>
          </w:p>
        </w:tc>
      </w:tr>
    </w:tbl>
    <w:p w14:paraId="257D92E6" w14:textId="77777777" w:rsidR="002868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5D795925" w14:textId="77777777" w:rsidR="002868FF" w:rsidRDefault="002868FF" w:rsidP="002868FF">
      <w:pPr>
        <w:jc w:val="left"/>
        <w:outlineLvl w:val="0"/>
        <w:rPr>
          <w:rFonts w:ascii="Arial" w:hAnsi="Arial" w:cs="Arial"/>
        </w:rPr>
      </w:pPr>
      <w:r w:rsidRPr="000F3FFF">
        <w:rPr>
          <w:rFonts w:ascii="Arial" w:hAnsi="Arial" w:cs="Arial"/>
          <w:b/>
        </w:rPr>
        <w:t xml:space="preserve">Scope </w:t>
      </w:r>
    </w:p>
    <w:p w14:paraId="135DC73F" w14:textId="77777777" w:rsidR="002868FF" w:rsidRDefault="002868FF" w:rsidP="002868FF">
      <w:pPr>
        <w:jc w:val="left"/>
        <w:outlineLvl w:val="0"/>
        <w:rPr>
          <w:rFonts w:ascii="Arial" w:hAnsi="Arial" w:cs="Arial"/>
        </w:rPr>
      </w:pPr>
    </w:p>
    <w:p w14:paraId="0FB17775" w14:textId="77777777" w:rsidR="002868FF" w:rsidRDefault="002868FF" w:rsidP="002868FF">
      <w:pPr>
        <w:jc w:val="left"/>
        <w:outlineLvl w:val="0"/>
        <w:rPr>
          <w:rFonts w:ascii="Arial" w:hAnsi="Arial" w:cs="Arial"/>
        </w:rPr>
      </w:pPr>
    </w:p>
    <w:p w14:paraId="2640867E" w14:textId="77777777" w:rsidR="002868FF" w:rsidRDefault="002868FF" w:rsidP="002868FF">
      <w:pPr>
        <w:jc w:val="left"/>
        <w:outlineLvl w:val="0"/>
        <w:rPr>
          <w:rFonts w:ascii="Arial" w:hAnsi="Arial" w:cs="Arial"/>
        </w:rPr>
      </w:pPr>
      <w:r w:rsidRPr="00AC7309">
        <w:rPr>
          <w:rFonts w:ascii="Arial" w:hAnsi="Arial" w:cs="Arial"/>
        </w:rPr>
        <w:t>The post holder will be expected to work independently and is professionally accountable to the</w:t>
      </w:r>
      <w:r>
        <w:rPr>
          <w:rFonts w:ascii="Arial" w:hAnsi="Arial" w:cs="Arial"/>
        </w:rPr>
        <w:t xml:space="preserve"> Public Health Principal Workplace Health and Worklessness.</w:t>
      </w:r>
      <w:r w:rsidRPr="00AC7309">
        <w:rPr>
          <w:rFonts w:ascii="Arial" w:hAnsi="Arial" w:cs="Arial"/>
        </w:rPr>
        <w:t xml:space="preserve"> They have devolved responsibility for lead areas of work </w:t>
      </w:r>
      <w:r>
        <w:rPr>
          <w:rFonts w:ascii="Arial" w:hAnsi="Arial" w:cs="Arial"/>
        </w:rPr>
        <w:t xml:space="preserve">for workplace health, wellbeing and worklessness, </w:t>
      </w:r>
      <w:r w:rsidRPr="00AC7309">
        <w:rPr>
          <w:rFonts w:ascii="Arial" w:hAnsi="Arial" w:cs="Arial"/>
        </w:rPr>
        <w:t xml:space="preserve">including the collation of data and performance management of multiple services. </w:t>
      </w:r>
    </w:p>
    <w:p w14:paraId="14745217" w14:textId="77777777" w:rsidR="002868FF" w:rsidRPr="001D5D7F" w:rsidRDefault="002868FF" w:rsidP="002868FF">
      <w:pPr>
        <w:jc w:val="left"/>
        <w:outlineLvl w:val="0"/>
        <w:rPr>
          <w:rFonts w:ascii="Arial" w:hAnsi="Arial" w:cs="Arial"/>
        </w:rPr>
      </w:pPr>
      <w:r w:rsidRPr="001D5D7F">
        <w:rPr>
          <w:rFonts w:ascii="Arial" w:hAnsi="Arial" w:cs="Arial"/>
        </w:rPr>
        <w:lastRenderedPageBreak/>
        <w:t xml:space="preserve">They will be expected to communicate with and work alongside </w:t>
      </w:r>
      <w:r>
        <w:rPr>
          <w:rFonts w:ascii="Arial" w:hAnsi="Arial" w:cs="Arial"/>
        </w:rPr>
        <w:t>workplaces across Bedford, Central Bedfordshire and Milton Keynes as well as a range of partner organisations</w:t>
      </w:r>
      <w:r w:rsidRPr="001D5D7F">
        <w:rPr>
          <w:rFonts w:ascii="Arial" w:hAnsi="Arial" w:cs="Arial"/>
        </w:rPr>
        <w:t xml:space="preserve">. </w:t>
      </w:r>
    </w:p>
    <w:p w14:paraId="4D7DE651" w14:textId="77777777" w:rsidR="002868FF" w:rsidRPr="00AC7309" w:rsidRDefault="002868FF" w:rsidP="002868FF">
      <w:pPr>
        <w:jc w:val="left"/>
        <w:outlineLvl w:val="0"/>
        <w:rPr>
          <w:rFonts w:ascii="Arial" w:hAnsi="Arial" w:cs="Arial"/>
        </w:rPr>
      </w:pPr>
      <w:r w:rsidRPr="001D5D7F">
        <w:rPr>
          <w:rFonts w:ascii="Arial" w:hAnsi="Arial" w:cs="Arial"/>
        </w:rPr>
        <w:t>The post holder will be responsible for ensuring that projects are delivered within the allocated budget</w:t>
      </w:r>
      <w:r>
        <w:rPr>
          <w:rFonts w:ascii="Arial" w:hAnsi="Arial" w:cs="Arial"/>
        </w:rPr>
        <w:t>.</w:t>
      </w:r>
    </w:p>
    <w:p w14:paraId="71F98079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0BC29400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42B48929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</w:p>
    <w:p w14:paraId="22FEB679" w14:textId="77777777" w:rsidR="002868FF" w:rsidRPr="007948D9" w:rsidRDefault="002868FF" w:rsidP="002868FF">
      <w:pPr>
        <w:jc w:val="left"/>
        <w:outlineLvl w:val="0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</w:rPr>
        <w:t xml:space="preserve">Work Profile   </w:t>
      </w:r>
    </w:p>
    <w:p w14:paraId="20AB0BDD" w14:textId="77777777" w:rsidR="002868FF" w:rsidRDefault="002868FF" w:rsidP="002868FF">
      <w:pPr>
        <w:jc w:val="left"/>
        <w:rPr>
          <w:rFonts w:ascii="Arial" w:hAnsi="Arial" w:cs="Arial"/>
          <w:b/>
        </w:rPr>
      </w:pPr>
    </w:p>
    <w:p w14:paraId="5CF2D0D6" w14:textId="77777777" w:rsidR="002868FF" w:rsidRDefault="002868FF" w:rsidP="002868FF">
      <w:pPr>
        <w:jc w:val="lef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8537"/>
      </w:tblGrid>
      <w:tr w:rsidR="002868FF" w:rsidRPr="00F65A61" w14:paraId="1208F79D" w14:textId="77777777" w:rsidTr="00AA5D45">
        <w:tc>
          <w:tcPr>
            <w:tcW w:w="483" w:type="dxa"/>
            <w:shd w:val="clear" w:color="auto" w:fill="auto"/>
          </w:tcPr>
          <w:p w14:paraId="6A427A61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 w:rsidRPr="00F65A61">
              <w:rPr>
                <w:rFonts w:ascii="Arial" w:hAnsi="Arial" w:cs="Arial"/>
              </w:rPr>
              <w:t>1</w:t>
            </w:r>
          </w:p>
        </w:tc>
        <w:tc>
          <w:tcPr>
            <w:tcW w:w="8759" w:type="dxa"/>
            <w:shd w:val="clear" w:color="auto" w:fill="auto"/>
          </w:tcPr>
          <w:p w14:paraId="135DD6DF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 w:rsidRPr="00150A62">
              <w:rPr>
                <w:rFonts w:ascii="Arial" w:hAnsi="Arial" w:cs="Arial"/>
              </w:rPr>
              <w:t xml:space="preserve">Lead the formulation of plans and development of strategies </w:t>
            </w:r>
            <w:r>
              <w:rPr>
                <w:rFonts w:ascii="Arial" w:hAnsi="Arial" w:cs="Arial"/>
              </w:rPr>
              <w:t>to support workplace health and worklessness</w:t>
            </w:r>
            <w:r w:rsidRPr="00150A62">
              <w:rPr>
                <w:rFonts w:ascii="Arial" w:hAnsi="Arial" w:cs="Arial"/>
              </w:rPr>
              <w:t xml:space="preserve"> </w:t>
            </w:r>
          </w:p>
        </w:tc>
      </w:tr>
      <w:tr w:rsidR="002868FF" w:rsidRPr="00F65A61" w14:paraId="5D8B9B84" w14:textId="77777777" w:rsidTr="00AA5D45">
        <w:tc>
          <w:tcPr>
            <w:tcW w:w="483" w:type="dxa"/>
            <w:shd w:val="clear" w:color="auto" w:fill="auto"/>
          </w:tcPr>
          <w:p w14:paraId="7D100A43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59" w:type="dxa"/>
            <w:shd w:val="clear" w:color="auto" w:fill="auto"/>
          </w:tcPr>
          <w:p w14:paraId="6B66B070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 w:rsidRPr="00F65A61">
              <w:rPr>
                <w:rFonts w:ascii="Arial" w:hAnsi="Arial" w:cs="Arial"/>
              </w:rPr>
              <w:t>Undertake project management, including the planning</w:t>
            </w:r>
            <w:r>
              <w:rPr>
                <w:rFonts w:ascii="Arial" w:hAnsi="Arial" w:cs="Arial"/>
              </w:rPr>
              <w:t>,</w:t>
            </w:r>
            <w:r w:rsidRPr="00F65A61">
              <w:rPr>
                <w:rFonts w:ascii="Arial" w:hAnsi="Arial" w:cs="Arial"/>
              </w:rPr>
              <w:t xml:space="preserve"> organisation</w:t>
            </w:r>
            <w:r>
              <w:rPr>
                <w:rFonts w:ascii="Arial" w:hAnsi="Arial" w:cs="Arial"/>
              </w:rPr>
              <w:t xml:space="preserve"> and implementation </w:t>
            </w:r>
            <w:r w:rsidRPr="00F65A61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relevant</w:t>
            </w:r>
            <w:r w:rsidRPr="00F65A61">
              <w:rPr>
                <w:rFonts w:ascii="Arial" w:hAnsi="Arial" w:cs="Arial"/>
              </w:rPr>
              <w:t xml:space="preserve"> public health areas </w:t>
            </w:r>
            <w:r>
              <w:rPr>
                <w:rFonts w:ascii="Arial" w:hAnsi="Arial" w:cs="Arial"/>
              </w:rPr>
              <w:t>including marketing and communications</w:t>
            </w:r>
          </w:p>
        </w:tc>
      </w:tr>
      <w:tr w:rsidR="002868FF" w:rsidRPr="00F65A61" w14:paraId="47B19276" w14:textId="77777777" w:rsidTr="00AA5D45">
        <w:tc>
          <w:tcPr>
            <w:tcW w:w="483" w:type="dxa"/>
            <w:shd w:val="clear" w:color="auto" w:fill="auto"/>
          </w:tcPr>
          <w:p w14:paraId="4FDA0745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59" w:type="dxa"/>
            <w:shd w:val="clear" w:color="auto" w:fill="auto"/>
          </w:tcPr>
          <w:p w14:paraId="7A55C69E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 w:rsidRPr="00F65A61">
              <w:rPr>
                <w:rFonts w:ascii="Arial" w:hAnsi="Arial" w:cs="Arial"/>
              </w:rPr>
              <w:t xml:space="preserve">Implement policies for </w:t>
            </w:r>
            <w:r>
              <w:rPr>
                <w:rFonts w:ascii="Arial" w:hAnsi="Arial" w:cs="Arial"/>
              </w:rPr>
              <w:t>workplace health and worklessness</w:t>
            </w:r>
            <w:r w:rsidRPr="00F65A61">
              <w:rPr>
                <w:rFonts w:ascii="Arial" w:hAnsi="Arial" w:cs="Arial"/>
              </w:rPr>
              <w:t xml:space="preserve"> and propose service changes to meet the needs of the </w:t>
            </w:r>
            <w:r>
              <w:rPr>
                <w:rFonts w:ascii="Arial" w:hAnsi="Arial" w:cs="Arial"/>
              </w:rPr>
              <w:t xml:space="preserve">working aged </w:t>
            </w:r>
            <w:r w:rsidRPr="00F65A61">
              <w:rPr>
                <w:rFonts w:ascii="Arial" w:hAnsi="Arial" w:cs="Arial"/>
              </w:rPr>
              <w:t>population and in line with evidence of good practice</w:t>
            </w:r>
          </w:p>
        </w:tc>
      </w:tr>
      <w:tr w:rsidR="002868FF" w:rsidRPr="00F65A61" w14:paraId="520BC6C3" w14:textId="77777777" w:rsidTr="00AA5D45">
        <w:tc>
          <w:tcPr>
            <w:tcW w:w="483" w:type="dxa"/>
            <w:shd w:val="clear" w:color="auto" w:fill="auto"/>
          </w:tcPr>
          <w:p w14:paraId="024C8479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59" w:type="dxa"/>
            <w:shd w:val="clear" w:color="auto" w:fill="auto"/>
          </w:tcPr>
          <w:p w14:paraId="4C82D3FF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 w:rsidRPr="00F65A61">
              <w:rPr>
                <w:rFonts w:ascii="Arial" w:hAnsi="Arial" w:cs="Arial"/>
              </w:rPr>
              <w:t xml:space="preserve">To ensure that all </w:t>
            </w:r>
            <w:r w:rsidRPr="001D5D7F">
              <w:rPr>
                <w:rFonts w:ascii="Arial" w:hAnsi="Arial" w:cs="Arial"/>
              </w:rPr>
              <w:t>projects are delivered within the allocated budget</w:t>
            </w:r>
            <w:r w:rsidRPr="00F65A61">
              <w:rPr>
                <w:rFonts w:ascii="Arial" w:hAnsi="Arial" w:cs="Arial"/>
              </w:rPr>
              <w:t xml:space="preserve">. </w:t>
            </w:r>
          </w:p>
        </w:tc>
      </w:tr>
      <w:tr w:rsidR="002868FF" w:rsidRPr="00F65A61" w14:paraId="688E06C7" w14:textId="77777777" w:rsidTr="00AA5D45">
        <w:tc>
          <w:tcPr>
            <w:tcW w:w="483" w:type="dxa"/>
            <w:shd w:val="clear" w:color="auto" w:fill="auto"/>
          </w:tcPr>
          <w:p w14:paraId="28D5119D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59" w:type="dxa"/>
            <w:shd w:val="clear" w:color="auto" w:fill="auto"/>
          </w:tcPr>
          <w:p w14:paraId="111187A9" w14:textId="77777777" w:rsidR="002868FF" w:rsidRPr="00F65A61" w:rsidRDefault="002868FF" w:rsidP="00AA5D45">
            <w:pPr>
              <w:outlineLvl w:val="0"/>
              <w:rPr>
                <w:rFonts w:ascii="Arial" w:hAnsi="Arial" w:cs="Arial"/>
              </w:rPr>
            </w:pPr>
            <w:r>
              <w:t xml:space="preserve"> </w:t>
            </w:r>
            <w:r w:rsidRPr="00150A6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gather evidence to identify priorities for the working aged population to include workplace health</w:t>
            </w:r>
            <w:r w:rsidRPr="00150A62">
              <w:rPr>
                <w:rFonts w:ascii="Arial" w:hAnsi="Arial" w:cs="Arial"/>
              </w:rPr>
              <w:t xml:space="preserve"> needs assessments, health impact assessments</w:t>
            </w:r>
            <w:r>
              <w:rPr>
                <w:rFonts w:ascii="Arial" w:hAnsi="Arial" w:cs="Arial"/>
              </w:rPr>
              <w:t>.</w:t>
            </w:r>
            <w:r w:rsidRPr="00150A62">
              <w:rPr>
                <w:rFonts w:ascii="Arial" w:hAnsi="Arial" w:cs="Arial"/>
              </w:rPr>
              <w:t xml:space="preserve">  </w:t>
            </w:r>
          </w:p>
        </w:tc>
      </w:tr>
      <w:tr w:rsidR="002868FF" w:rsidRPr="00F65A61" w14:paraId="25986EF3" w14:textId="77777777" w:rsidTr="00AA5D45">
        <w:tc>
          <w:tcPr>
            <w:tcW w:w="483" w:type="dxa"/>
            <w:shd w:val="clear" w:color="auto" w:fill="auto"/>
          </w:tcPr>
          <w:p w14:paraId="2BA6FCD3" w14:textId="77777777" w:rsidR="002868FF" w:rsidRDefault="002868FF" w:rsidP="00AA5D4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59" w:type="dxa"/>
            <w:shd w:val="clear" w:color="auto" w:fill="auto"/>
          </w:tcPr>
          <w:p w14:paraId="403E0025" w14:textId="77777777" w:rsidR="002868FF" w:rsidRPr="00F65A61" w:rsidDel="00150A62" w:rsidRDefault="002868FF" w:rsidP="00AA5D45">
            <w:pPr>
              <w:outlineLvl w:val="0"/>
              <w:rPr>
                <w:rFonts w:ascii="Arial" w:hAnsi="Arial" w:cs="Arial"/>
              </w:rPr>
            </w:pPr>
            <w:r w:rsidRPr="00F804B8">
              <w:rPr>
                <w:rFonts w:ascii="Arial" w:hAnsi="Arial" w:cs="Arial"/>
              </w:rPr>
              <w:t>To understand and interpret data</w:t>
            </w:r>
          </w:p>
        </w:tc>
      </w:tr>
    </w:tbl>
    <w:p w14:paraId="63E51C25" w14:textId="77777777" w:rsidR="002868FF" w:rsidRDefault="002868FF" w:rsidP="002868FF">
      <w:pPr>
        <w:jc w:val="left"/>
        <w:rPr>
          <w:rFonts w:ascii="Arial" w:hAnsi="Arial" w:cs="Arial"/>
          <w:b/>
        </w:rPr>
      </w:pPr>
    </w:p>
    <w:p w14:paraId="6775964C" w14:textId="77777777" w:rsidR="002868FF" w:rsidRDefault="002868FF" w:rsidP="002868FF">
      <w:pPr>
        <w:jc w:val="left"/>
        <w:rPr>
          <w:rFonts w:ascii="Arial" w:hAnsi="Arial" w:cs="Arial"/>
          <w:b/>
        </w:rPr>
      </w:pPr>
    </w:p>
    <w:p w14:paraId="2513E02A" w14:textId="77777777" w:rsidR="002868FF" w:rsidRDefault="002868FF" w:rsidP="002868FF">
      <w:pPr>
        <w:jc w:val="left"/>
        <w:rPr>
          <w:rFonts w:ascii="Arial" w:hAnsi="Arial" w:cs="Arial"/>
          <w:b/>
        </w:rPr>
      </w:pPr>
    </w:p>
    <w:p w14:paraId="068B7D15" w14:textId="77777777" w:rsidR="002868FF" w:rsidRDefault="002868FF" w:rsidP="002868FF">
      <w:pPr>
        <w:jc w:val="left"/>
        <w:rPr>
          <w:rFonts w:ascii="Arial" w:hAnsi="Arial" w:cs="Arial"/>
          <w:b/>
        </w:rPr>
        <w:sectPr w:rsidR="002868FF" w:rsidSect="0056742B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304A4F98" w14:textId="77777777" w:rsidR="002868FF" w:rsidRDefault="002868FF" w:rsidP="002868FF">
      <w:pPr>
        <w:jc w:val="left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lastRenderedPageBreak/>
        <w:t>Job Context</w:t>
      </w:r>
      <w:r>
        <w:rPr>
          <w:rFonts w:ascii="Arial" w:hAnsi="Arial" w:cs="Arial"/>
          <w:b/>
        </w:rPr>
        <w:t xml:space="preserve">   </w:t>
      </w:r>
    </w:p>
    <w:p w14:paraId="2DDC4034" w14:textId="77777777" w:rsidR="002868FF" w:rsidRPr="000F3FFF" w:rsidRDefault="002868FF" w:rsidP="002868FF">
      <w:pPr>
        <w:jc w:val="left"/>
        <w:rPr>
          <w:rFonts w:ascii="Arial" w:hAnsi="Arial" w:cs="Arial"/>
          <w:b/>
        </w:rPr>
      </w:pPr>
    </w:p>
    <w:p w14:paraId="7597D764" w14:textId="620D4782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  <w:sectPr w:rsidR="002868FF" w:rsidRPr="000F3FFF" w:rsidSect="00F1233B">
          <w:pgSz w:w="16838" w:h="11906" w:orient="landscape"/>
          <w:pgMar w:top="720" w:right="720" w:bottom="720" w:left="720" w:header="706" w:footer="706" w:gutter="0"/>
          <w:cols w:space="708"/>
          <w:docGrid w:linePitch="360"/>
        </w:sectPr>
      </w:pPr>
      <w:r w:rsidRPr="00F1233B">
        <w:rPr>
          <w:rFonts w:ascii="Arial" w:hAnsi="Arial" w:cs="Arial"/>
          <w:b/>
          <w:noProof/>
        </w:rPr>
        <w:drawing>
          <wp:inline distT="0" distB="0" distL="0" distR="0" wp14:anchorId="325B8503" wp14:editId="5B58359A">
            <wp:extent cx="5731510" cy="41516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02A0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lastRenderedPageBreak/>
        <w:t>PERSON SPECIFICATION</w:t>
      </w:r>
    </w:p>
    <w:p w14:paraId="6F849228" w14:textId="77777777" w:rsidR="002868FF" w:rsidRPr="000F3FFF" w:rsidRDefault="002868FF" w:rsidP="002868FF">
      <w:pPr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In this section the </w:t>
      </w:r>
      <w:r w:rsidRPr="000F3FFF"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>,</w:t>
      </w:r>
      <w:r w:rsidRPr="000F3FFF">
        <w:rPr>
          <w:rFonts w:ascii="Arial" w:hAnsi="Arial" w:cs="Arial"/>
          <w:b/>
        </w:rPr>
        <w:t xml:space="preserve"> Knowledge</w:t>
      </w:r>
      <w:r>
        <w:rPr>
          <w:rFonts w:ascii="Arial" w:hAnsi="Arial" w:cs="Arial"/>
          <w:b/>
        </w:rPr>
        <w:t>, Qualification</w:t>
      </w:r>
      <w:r w:rsidRPr="000F3F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Competency requirements to perform the role to a satisfactory standard are set out.  T</w:t>
      </w:r>
      <w:r w:rsidRPr="000F3FFF">
        <w:rPr>
          <w:rFonts w:ascii="Arial" w:hAnsi="Arial" w:cs="Arial"/>
          <w:b/>
        </w:rPr>
        <w:t>he extent</w:t>
      </w:r>
      <w:r>
        <w:rPr>
          <w:rFonts w:ascii="Arial" w:hAnsi="Arial" w:cs="Arial"/>
          <w:b/>
        </w:rPr>
        <w:t xml:space="preserve">, </w:t>
      </w:r>
      <w:r w:rsidRPr="000F3FFF">
        <w:rPr>
          <w:rFonts w:ascii="Arial" w:hAnsi="Arial" w:cs="Arial"/>
          <w:b/>
        </w:rPr>
        <w:t>nature</w:t>
      </w:r>
      <w:r>
        <w:rPr>
          <w:rFonts w:ascii="Arial" w:hAnsi="Arial" w:cs="Arial"/>
          <w:b/>
        </w:rPr>
        <w:t xml:space="preserve"> and level of</w:t>
      </w:r>
      <w:r w:rsidRPr="000F3FFF">
        <w:rPr>
          <w:rFonts w:ascii="Arial" w:hAnsi="Arial" w:cs="Arial"/>
          <w:b/>
        </w:rPr>
        <w:t xml:space="preserve"> the role holder’s </w:t>
      </w:r>
      <w:r>
        <w:rPr>
          <w:rFonts w:ascii="Arial" w:hAnsi="Arial" w:cs="Arial"/>
          <w:b/>
        </w:rPr>
        <w:t>knowledge and skills should be specified</w:t>
      </w:r>
    </w:p>
    <w:p w14:paraId="4BE80729" w14:textId="77777777" w:rsidR="002868FF" w:rsidRPr="000F3FFF" w:rsidRDefault="002868FF" w:rsidP="002868FF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Awareness</w:t>
      </w:r>
      <w:r w:rsidRPr="000F3FFF">
        <w:rPr>
          <w:rFonts w:ascii="Arial" w:hAnsi="Arial" w:cs="Arial"/>
          <w:sz w:val="20"/>
          <w:szCs w:val="20"/>
        </w:rPr>
        <w:t xml:space="preserve"> </w:t>
      </w:r>
      <w:r w:rsidRPr="000F3FFF">
        <w:rPr>
          <w:rFonts w:ascii="Arial" w:hAnsi="Arial" w:cs="Arial"/>
          <w:sz w:val="20"/>
          <w:szCs w:val="20"/>
        </w:rPr>
        <w:tab/>
        <w:t xml:space="preserve">some knowledge or skills sufficient to show aptitude and the ability to learn in the </w:t>
      </w:r>
      <w:proofErr w:type="gramStart"/>
      <w:r w:rsidRPr="000F3FFF">
        <w:rPr>
          <w:rFonts w:ascii="Arial" w:hAnsi="Arial" w:cs="Arial"/>
          <w:sz w:val="20"/>
          <w:szCs w:val="20"/>
        </w:rPr>
        <w:t>particular work</w:t>
      </w:r>
      <w:proofErr w:type="gramEnd"/>
      <w:r w:rsidRPr="000F3FFF">
        <w:rPr>
          <w:rFonts w:ascii="Arial" w:hAnsi="Arial" w:cs="Arial"/>
          <w:sz w:val="20"/>
          <w:szCs w:val="20"/>
        </w:rPr>
        <w:t xml:space="preserve"> area</w:t>
      </w:r>
    </w:p>
    <w:p w14:paraId="1F6788D6" w14:textId="77777777" w:rsidR="002868FF" w:rsidRPr="000F3FFF" w:rsidRDefault="002868FF" w:rsidP="002868FF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 xml:space="preserve">Significant </w:t>
      </w:r>
      <w:r w:rsidRPr="000F3FFF">
        <w:rPr>
          <w:rFonts w:ascii="Arial" w:hAnsi="Arial" w:cs="Arial"/>
          <w:sz w:val="20"/>
          <w:szCs w:val="20"/>
        </w:rPr>
        <w:tab/>
        <w:t xml:space="preserve">knowledge and skills gained through practice and/or qualification sufficient to </w:t>
      </w:r>
      <w:proofErr w:type="spellStart"/>
      <w:r w:rsidRPr="000F3FFF">
        <w:rPr>
          <w:rFonts w:ascii="Arial" w:hAnsi="Arial" w:cs="Arial"/>
          <w:sz w:val="20"/>
          <w:szCs w:val="20"/>
        </w:rPr>
        <w:t>fulfill</w:t>
      </w:r>
      <w:proofErr w:type="spellEnd"/>
      <w:r w:rsidRPr="000F3FFF">
        <w:rPr>
          <w:rFonts w:ascii="Arial" w:hAnsi="Arial" w:cs="Arial"/>
          <w:sz w:val="20"/>
          <w:szCs w:val="20"/>
        </w:rPr>
        <w:t xml:space="preserve"> the role requirements </w:t>
      </w:r>
    </w:p>
    <w:p w14:paraId="61F94485" w14:textId="77777777" w:rsidR="002868FF" w:rsidRPr="000F3FFF" w:rsidRDefault="002868FF" w:rsidP="002868FF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Extensive</w:t>
      </w:r>
      <w:r w:rsidRPr="000F3FFF">
        <w:rPr>
          <w:rFonts w:ascii="Arial" w:hAnsi="Arial" w:cs="Arial"/>
          <w:sz w:val="20"/>
          <w:szCs w:val="20"/>
        </w:rPr>
        <w:t xml:space="preserve"> </w:t>
      </w:r>
      <w:r w:rsidRPr="000F3FFF">
        <w:rPr>
          <w:rFonts w:ascii="Arial" w:hAnsi="Arial" w:cs="Arial"/>
          <w:sz w:val="20"/>
          <w:szCs w:val="20"/>
        </w:rPr>
        <w:tab/>
        <w:t xml:space="preserve">knowledge and skills gained through practice and/ or qualification to </w:t>
      </w:r>
      <w:proofErr w:type="spellStart"/>
      <w:r w:rsidRPr="000F3FFF">
        <w:rPr>
          <w:rFonts w:ascii="Arial" w:hAnsi="Arial" w:cs="Arial"/>
          <w:sz w:val="20"/>
          <w:szCs w:val="20"/>
        </w:rPr>
        <w:t>fulfill</w:t>
      </w:r>
      <w:proofErr w:type="spellEnd"/>
      <w:r w:rsidRPr="000F3FFF">
        <w:rPr>
          <w:rFonts w:ascii="Arial" w:hAnsi="Arial" w:cs="Arial"/>
          <w:sz w:val="20"/>
          <w:szCs w:val="20"/>
        </w:rPr>
        <w:t xml:space="preserve"> the role requirements and contribute to training others and developing policy and practice in the work area</w:t>
      </w:r>
    </w:p>
    <w:p w14:paraId="32C686CC" w14:textId="77777777" w:rsidR="002868FF" w:rsidRPr="000F3FFF" w:rsidRDefault="002868FF" w:rsidP="002868FF">
      <w:pPr>
        <w:ind w:left="1440" w:hanging="1440"/>
        <w:rPr>
          <w:rFonts w:ascii="Arial" w:hAnsi="Arial" w:cs="Arial"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0"/>
        <w:gridCol w:w="6360"/>
        <w:gridCol w:w="600"/>
        <w:gridCol w:w="600"/>
        <w:gridCol w:w="480"/>
        <w:gridCol w:w="480"/>
        <w:gridCol w:w="480"/>
        <w:gridCol w:w="2040"/>
      </w:tblGrid>
      <w:tr w:rsidR="002868FF" w:rsidRPr="00F06E69" w14:paraId="33D0DB3F" w14:textId="77777777" w:rsidTr="00AA5D45">
        <w:trPr>
          <w:trHeight w:val="260"/>
        </w:trPr>
        <w:tc>
          <w:tcPr>
            <w:tcW w:w="3360" w:type="dxa"/>
            <w:vMerge w:val="restart"/>
            <w:shd w:val="clear" w:color="auto" w:fill="auto"/>
          </w:tcPr>
          <w:p w14:paraId="052E09D8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C4CC1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9652C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  <w:p w14:paraId="768B39C0" w14:textId="77777777" w:rsidR="002868FF" w:rsidRPr="00F06E69" w:rsidRDefault="002868FF" w:rsidP="00AA5D45">
            <w:pPr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vMerge w:val="restart"/>
            <w:shd w:val="clear" w:color="auto" w:fill="auto"/>
          </w:tcPr>
          <w:p w14:paraId="563362D3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631E09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3E987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Examples specific to role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4CA2CAF7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C51474A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7528A863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Method of Assessment application form, interview, testing, reference</w:t>
            </w:r>
          </w:p>
        </w:tc>
      </w:tr>
      <w:tr w:rsidR="002868FF" w:rsidRPr="00F06E69" w14:paraId="3DCAB171" w14:textId="77777777" w:rsidTr="00AA5D45">
        <w:trPr>
          <w:cantSplit/>
          <w:trHeight w:val="1340"/>
        </w:trPr>
        <w:tc>
          <w:tcPr>
            <w:tcW w:w="3360" w:type="dxa"/>
            <w:vMerge/>
            <w:shd w:val="clear" w:color="auto" w:fill="auto"/>
          </w:tcPr>
          <w:p w14:paraId="6E77CE5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vMerge/>
            <w:shd w:val="clear" w:color="auto" w:fill="auto"/>
          </w:tcPr>
          <w:p w14:paraId="053399E7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14:paraId="27A3F2AF" w14:textId="77777777" w:rsidR="002868FF" w:rsidRPr="00F06E69" w:rsidRDefault="002868FF" w:rsidP="00AA5D45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14:paraId="57A1ED27" w14:textId="77777777" w:rsidR="002868FF" w:rsidRPr="00F06E69" w:rsidRDefault="002868FF" w:rsidP="00AA5D45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14:paraId="7A13D93D" w14:textId="77777777" w:rsidR="002868FF" w:rsidRPr="00F06E69" w:rsidRDefault="002868FF" w:rsidP="00AA5D45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14:paraId="668204D3" w14:textId="77777777" w:rsidR="002868FF" w:rsidRPr="00F06E69" w:rsidRDefault="002868FF" w:rsidP="00AA5D45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Significant 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14:paraId="250002AC" w14:textId="77777777" w:rsidR="002868FF" w:rsidRPr="00F06E69" w:rsidRDefault="002868FF" w:rsidP="00AA5D45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  <w:tc>
          <w:tcPr>
            <w:tcW w:w="2040" w:type="dxa"/>
            <w:vMerge/>
            <w:shd w:val="clear" w:color="auto" w:fill="auto"/>
          </w:tcPr>
          <w:p w14:paraId="0C73492B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8FF" w:rsidRPr="00F06E69" w14:paraId="7A10FC5A" w14:textId="77777777" w:rsidTr="00AA5D45">
        <w:trPr>
          <w:trHeight w:val="915"/>
        </w:trPr>
        <w:tc>
          <w:tcPr>
            <w:tcW w:w="3360" w:type="dxa"/>
            <w:shd w:val="clear" w:color="auto" w:fill="auto"/>
          </w:tcPr>
          <w:p w14:paraId="24060615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Knowledge and experience</w:t>
            </w:r>
          </w:p>
          <w:p w14:paraId="162418CA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D7C9F7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BAE45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14:paraId="140966FC" w14:textId="77777777" w:rsidR="002868FF" w:rsidRPr="002868FF" w:rsidRDefault="002868FF" w:rsidP="00AA5D45">
            <w:pPr>
              <w:autoSpaceDE w:val="0"/>
              <w:autoSpaceDN w:val="0"/>
              <w:adjustRightInd w:val="0"/>
              <w:jc w:val="left"/>
              <w:rPr>
                <w:rFonts w:ascii="Lato-Regular" w:hAnsi="Lato-Regular" w:cs="Lato-Regular"/>
                <w:color w:val="393939"/>
                <w:sz w:val="26"/>
                <w:szCs w:val="26"/>
                <w:lang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7C09AD4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65A61">
              <w:rPr>
                <w:rFonts w:ascii="Arial" w:hAnsi="Arial" w:cs="Arial"/>
                <w:sz w:val="20"/>
                <w:szCs w:val="20"/>
              </w:rPr>
              <w:t>Degree-level education and/or relevant professional qualification or equivalent demonstrable experience.</w:t>
            </w:r>
          </w:p>
          <w:p w14:paraId="43008338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Masters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Public Health</w:t>
            </w:r>
            <w:proofErr w:type="gramEnd"/>
          </w:p>
          <w:p w14:paraId="05B6CAC6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08DAFB9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2327">
              <w:rPr>
                <w:rFonts w:ascii="Arial" w:hAnsi="Arial" w:cs="Arial"/>
                <w:sz w:val="20"/>
                <w:szCs w:val="20"/>
              </w:rPr>
              <w:t>B1.3. develop and / or implement action plans with, and for specific groups and communities, to deliver outcomes identified in strategies and policies</w:t>
            </w:r>
          </w:p>
          <w:p w14:paraId="669B22F9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2327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  <w:r w:rsidRPr="004F2327">
              <w:rPr>
                <w:rFonts w:ascii="Arial" w:hAnsi="Arial" w:cs="Arial"/>
                <w:sz w:val="20"/>
                <w:szCs w:val="20"/>
              </w:rPr>
              <w:t>1.5. monitor and report on the progress and outcomes of strategy and policy implementation making recommendations for improvement.</w:t>
            </w:r>
          </w:p>
          <w:p w14:paraId="68999155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2327">
              <w:rPr>
                <w:rFonts w:ascii="Arial" w:hAnsi="Arial" w:cs="Arial"/>
                <w:sz w:val="20"/>
                <w:szCs w:val="20"/>
              </w:rPr>
              <w:t>C1.2. engage others, build relationships, manage conflict, encourage contribution and sustain commitment to deliver shared objectives</w:t>
            </w:r>
          </w:p>
          <w:p w14:paraId="666952C7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2327">
              <w:rPr>
                <w:rFonts w:ascii="Arial" w:hAnsi="Arial" w:cs="Arial"/>
                <w:sz w:val="20"/>
                <w:szCs w:val="20"/>
              </w:rPr>
              <w:t>C2.2 communicate sometimes complex information and concepts (including health outcomes, inequalities and life expectancy) to a diversity of audiences using different methods.</w:t>
            </w:r>
          </w:p>
          <w:p w14:paraId="71998185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90AB45E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00B8">
              <w:rPr>
                <w:rFonts w:ascii="Arial" w:hAnsi="Arial" w:cs="Arial"/>
                <w:sz w:val="20"/>
                <w:szCs w:val="20"/>
              </w:rPr>
              <w:t>A5.5. quality assure and audit services and interventions to control risks and improve their quality and effectiveness</w:t>
            </w:r>
          </w:p>
          <w:p w14:paraId="1AB6471A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00B8">
              <w:rPr>
                <w:rFonts w:ascii="Arial" w:hAnsi="Arial" w:cs="Arial"/>
                <w:sz w:val="20"/>
                <w:szCs w:val="20"/>
              </w:rPr>
              <w:t>C2.1. manage public perception and convey key messages using a range of media processes.</w:t>
            </w:r>
          </w:p>
          <w:p w14:paraId="5DD278D3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00B8">
              <w:rPr>
                <w:rFonts w:ascii="Arial" w:hAnsi="Arial" w:cs="Arial"/>
                <w:sz w:val="20"/>
                <w:szCs w:val="20"/>
              </w:rPr>
              <w:lastRenderedPageBreak/>
              <w:t>C2.3. facilitate dialogue with groups and communities to improve health literacy and reduce inequalities using a range of tools and technologies.</w:t>
            </w:r>
          </w:p>
          <w:p w14:paraId="6E722252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00B8">
              <w:rPr>
                <w:rFonts w:ascii="Arial" w:hAnsi="Arial" w:cs="Arial"/>
                <w:sz w:val="20"/>
                <w:szCs w:val="20"/>
              </w:rPr>
              <w:t>C2.4. apply the principles of social marketing, and / or behavioural science, to reach specific groups and communities with enabling information and ideas.</w:t>
            </w:r>
          </w:p>
          <w:p w14:paraId="2B9BA4AB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00B8">
              <w:rPr>
                <w:rFonts w:ascii="Arial" w:hAnsi="Arial" w:cs="Arial"/>
                <w:sz w:val="20"/>
                <w:szCs w:val="20"/>
              </w:rPr>
              <w:t>C2.5. consult, and listen to individuals, groups and communities likely to be affected by planned intervention or change.</w:t>
            </w:r>
          </w:p>
          <w:p w14:paraId="0D08F7C9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C168E5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√</w:t>
            </w:r>
          </w:p>
          <w:p w14:paraId="785EB16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7F56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DA95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52D7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D178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D4B59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3DA067F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1C91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B9CE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55CFB3FE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390233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619B8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34E594B7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70765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3A28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08EE0F8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6474C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9EA41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21C899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6643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FFC2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086FE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8E82C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5EAFCD3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123D5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85C39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6D93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8CD88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1A21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505D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E7BC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027C4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237FC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A97B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B00C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A909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9BBB5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2FA4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3AD8425F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7029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11AA362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CB9A8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√</w:t>
            </w:r>
          </w:p>
          <w:p w14:paraId="199B380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21247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4198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4A4C4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7E81C0A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9A602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480" w:type="dxa"/>
            <w:shd w:val="clear" w:color="auto" w:fill="auto"/>
          </w:tcPr>
          <w:p w14:paraId="1CF269A1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ACB033B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947BBAE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4FF80CD4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8FF" w:rsidRPr="00F06E69" w14:paraId="2DB69736" w14:textId="77777777" w:rsidTr="00AA5D45">
        <w:trPr>
          <w:trHeight w:val="512"/>
        </w:trPr>
        <w:tc>
          <w:tcPr>
            <w:tcW w:w="3360" w:type="dxa"/>
            <w:shd w:val="clear" w:color="auto" w:fill="auto"/>
          </w:tcPr>
          <w:p w14:paraId="78ADF2A4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Skills, abilities and behaviour</w:t>
            </w:r>
          </w:p>
        </w:tc>
        <w:tc>
          <w:tcPr>
            <w:tcW w:w="6360" w:type="dxa"/>
            <w:shd w:val="clear" w:color="auto" w:fill="auto"/>
          </w:tcPr>
          <w:p w14:paraId="444277C9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5EAC">
              <w:rPr>
                <w:rFonts w:ascii="Arial" w:hAnsi="Arial" w:cs="Arial"/>
                <w:sz w:val="20"/>
                <w:szCs w:val="20"/>
              </w:rPr>
              <w:t>A4.1. access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EAC">
              <w:rPr>
                <w:rFonts w:ascii="Arial" w:hAnsi="Arial" w:cs="Arial"/>
                <w:sz w:val="20"/>
                <w:szCs w:val="20"/>
              </w:rPr>
              <w:t>and appraise evidence gained through systematic methods and through engagement with the wider research community.</w:t>
            </w:r>
          </w:p>
          <w:p w14:paraId="44FA3DC0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5EAC">
              <w:rPr>
                <w:rFonts w:ascii="Arial" w:hAnsi="Arial" w:cs="Arial"/>
                <w:sz w:val="20"/>
                <w:szCs w:val="20"/>
              </w:rPr>
              <w:t>A4.2. critique published and unpublished research, synthesise the evidence and draw appropriate conclusions</w:t>
            </w:r>
          </w:p>
          <w:p w14:paraId="4F1FBF86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5EAC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  <w:r w:rsidRPr="00CD5EAC">
              <w:rPr>
                <w:rFonts w:ascii="Arial" w:hAnsi="Arial" w:cs="Arial"/>
                <w:sz w:val="20"/>
                <w:szCs w:val="20"/>
              </w:rPr>
              <w:t>1.1. appraise and advise on global, national or local strategies in relation to the public's health and health inequalities.</w:t>
            </w:r>
          </w:p>
          <w:p w14:paraId="10034A2E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5EAC">
              <w:rPr>
                <w:rFonts w:ascii="Arial" w:hAnsi="Arial" w:cs="Arial"/>
                <w:sz w:val="20"/>
                <w:szCs w:val="20"/>
              </w:rPr>
              <w:t>B2.1. influence and coordinate other organisations and agencies to increase their engagement with health and wellbeing, ill-health prevention and health inequalities</w:t>
            </w:r>
          </w:p>
          <w:p w14:paraId="694179A9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5D5B">
              <w:rPr>
                <w:rFonts w:ascii="Arial" w:hAnsi="Arial" w:cs="Arial"/>
                <w:sz w:val="20"/>
                <w:szCs w:val="20"/>
              </w:rPr>
              <w:t>B3.5 manage and monitor progress and deliverables against outcomes and processes agreed through a contract</w:t>
            </w:r>
          </w:p>
          <w:p w14:paraId="0FE53605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5D5B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  <w:r w:rsidRPr="00D25D5B">
              <w:rPr>
                <w:rFonts w:ascii="Arial" w:hAnsi="Arial" w:cs="Arial"/>
                <w:sz w:val="20"/>
                <w:szCs w:val="20"/>
              </w:rPr>
              <w:t>4.2. operate within the decision making, administrative and reporting processes that support political and democratic systems</w:t>
            </w:r>
          </w:p>
          <w:p w14:paraId="67560753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5D5B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  <w:r w:rsidRPr="00D25D5B">
              <w:rPr>
                <w:rFonts w:ascii="Arial" w:hAnsi="Arial" w:cs="Arial"/>
                <w:sz w:val="20"/>
                <w:szCs w:val="20"/>
              </w:rPr>
              <w:t xml:space="preserve">4.5. work within the legislative framework that underpins public service provision to maximise opportunities to protect and promote health and wellbeing. </w:t>
            </w:r>
          </w:p>
          <w:p w14:paraId="6A63ED1E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5EAC">
              <w:rPr>
                <w:rFonts w:ascii="Arial" w:hAnsi="Arial" w:cs="Arial"/>
                <w:sz w:val="20"/>
                <w:szCs w:val="20"/>
              </w:rPr>
              <w:t>B2.5. connect communities, groups and individuals to local resources and services that support their health and wellbeing</w:t>
            </w:r>
          </w:p>
          <w:p w14:paraId="168C7C4E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5EAC">
              <w:rPr>
                <w:rFonts w:ascii="Arial" w:hAnsi="Arial" w:cs="Arial"/>
                <w:sz w:val="20"/>
                <w:szCs w:val="20"/>
              </w:rPr>
              <w:t>.B</w:t>
            </w:r>
            <w:proofErr w:type="gramEnd"/>
            <w:r w:rsidRPr="00CD5EAC">
              <w:rPr>
                <w:rFonts w:ascii="Arial" w:hAnsi="Arial" w:cs="Arial"/>
                <w:sz w:val="20"/>
                <w:szCs w:val="20"/>
              </w:rPr>
              <w:t>4.4. help individuals and communities to have more control over decisions that affect them and promote health equity, equality and justice.</w:t>
            </w:r>
          </w:p>
        </w:tc>
        <w:tc>
          <w:tcPr>
            <w:tcW w:w="600" w:type="dxa"/>
            <w:shd w:val="clear" w:color="auto" w:fill="auto"/>
          </w:tcPr>
          <w:p w14:paraId="26897F19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03DDB5D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648E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6D40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0CB0E6C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92898E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05B3F2F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BBFD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1D7AC4F1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20960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E67B7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552DA807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93F87F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6EB105D0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8E910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5A51BEE3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4ED8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8E619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FD044A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72A10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58EC3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2BEB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B06DC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A30F59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0929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55D3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6BC96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DD8EA7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64D1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7926A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8D568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9FDC02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821D9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77BF8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B8F6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9C9C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6D5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2F229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0A50C7EB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  <w:p w14:paraId="58123E9D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8E85F" w14:textId="77777777" w:rsidR="002868FF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76E7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8557890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1FF0207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EFDBEF5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37936C82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8FF" w:rsidRPr="00F06E69" w14:paraId="3447C0F6" w14:textId="77777777" w:rsidTr="00AA5D45">
        <w:trPr>
          <w:trHeight w:val="503"/>
        </w:trPr>
        <w:tc>
          <w:tcPr>
            <w:tcW w:w="3360" w:type="dxa"/>
            <w:shd w:val="clear" w:color="auto" w:fill="auto"/>
          </w:tcPr>
          <w:p w14:paraId="50D3C03E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risk</w:t>
            </w:r>
          </w:p>
        </w:tc>
        <w:tc>
          <w:tcPr>
            <w:tcW w:w="6360" w:type="dxa"/>
            <w:shd w:val="clear" w:color="auto" w:fill="auto"/>
          </w:tcPr>
          <w:p w14:paraId="6682EB41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independent assurance throughout programme/project planning and processes within organisational governance frameworks. (C3.5)</w:t>
            </w:r>
          </w:p>
        </w:tc>
        <w:tc>
          <w:tcPr>
            <w:tcW w:w="600" w:type="dxa"/>
            <w:shd w:val="clear" w:color="auto" w:fill="auto"/>
          </w:tcPr>
          <w:p w14:paraId="4788098F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14:paraId="48E390D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D382C12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EFF8F92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D33B67F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03ECF38B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8FF" w:rsidRPr="00F06E69" w14:paraId="37E385D1" w14:textId="77777777" w:rsidTr="00AA5D45">
        <w:trPr>
          <w:trHeight w:val="915"/>
        </w:trPr>
        <w:tc>
          <w:tcPr>
            <w:tcW w:w="3360" w:type="dxa"/>
            <w:shd w:val="clear" w:color="auto" w:fill="auto"/>
          </w:tcPr>
          <w:p w14:paraId="3FC27050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ACCOUNTABILITY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responsibility</w:t>
            </w:r>
          </w:p>
        </w:tc>
        <w:tc>
          <w:tcPr>
            <w:tcW w:w="6360" w:type="dxa"/>
            <w:shd w:val="clear" w:color="auto" w:fill="auto"/>
          </w:tcPr>
          <w:p w14:paraId="215B89D3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5D5B">
              <w:rPr>
                <w:rFonts w:ascii="Arial" w:hAnsi="Arial" w:cs="Arial"/>
                <w:sz w:val="20"/>
                <w:szCs w:val="20"/>
              </w:rPr>
              <w:t>C1.1. act with integrity, consistency and purpose and conti</w:t>
            </w:r>
            <w:r>
              <w:rPr>
                <w:rFonts w:ascii="Arial" w:hAnsi="Arial" w:cs="Arial"/>
                <w:sz w:val="20"/>
                <w:szCs w:val="20"/>
              </w:rPr>
              <w:t>nue my own personal development</w:t>
            </w:r>
          </w:p>
          <w:p w14:paraId="4FC3388C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F5D24FC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14:paraId="03608E0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A3531AE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5BFAE3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58B2AD4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36F6DF5B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68FF" w:rsidRPr="00F06E69" w14:paraId="2EC289A9" w14:textId="77777777" w:rsidTr="00AA5D45">
        <w:trPr>
          <w:trHeight w:val="710"/>
        </w:trPr>
        <w:tc>
          <w:tcPr>
            <w:tcW w:w="3360" w:type="dxa"/>
            <w:shd w:val="clear" w:color="auto" w:fill="auto"/>
          </w:tcPr>
          <w:p w14:paraId="2E918203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resources</w:t>
            </w:r>
          </w:p>
        </w:tc>
        <w:tc>
          <w:tcPr>
            <w:tcW w:w="6360" w:type="dxa"/>
            <w:shd w:val="clear" w:color="auto" w:fill="auto"/>
          </w:tcPr>
          <w:p w14:paraId="1F3573D3" w14:textId="77777777" w:rsidR="002868FF" w:rsidRDefault="002868FF" w:rsidP="00AA5D45">
            <w:pPr>
              <w:rPr>
                <w:rFonts w:ascii="Arial" w:hAnsi="Arial" w:cs="Arial"/>
                <w:sz w:val="20"/>
                <w:szCs w:val="20"/>
              </w:rPr>
            </w:pPr>
            <w:r w:rsidRPr="008F1AA7">
              <w:rPr>
                <w:rFonts w:ascii="Arial" w:hAnsi="Arial" w:cs="Arial"/>
                <w:sz w:val="20"/>
                <w:szCs w:val="20"/>
              </w:rPr>
              <w:t>Manage project/programme schedules, resources, budget and scope, accommodating changes within a robust change control proce</w:t>
            </w:r>
            <w:r>
              <w:rPr>
                <w:rFonts w:ascii="Arial" w:hAnsi="Arial" w:cs="Arial"/>
                <w:sz w:val="20"/>
                <w:szCs w:val="20"/>
              </w:rPr>
              <w:t>ss (C3.3)</w:t>
            </w:r>
          </w:p>
          <w:p w14:paraId="60A92B1C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4E7B99F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14:paraId="58C8EA8B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EDAB1E9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6E80233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DA92E1A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14:paraId="3E5A718A" w14:textId="77777777" w:rsidR="002868FF" w:rsidRPr="00F06E69" w:rsidRDefault="002868FF" w:rsidP="00AA5D4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27D9A7" w14:textId="77777777" w:rsidR="002868FF" w:rsidRDefault="002868FF" w:rsidP="002868FF">
      <w:pPr>
        <w:jc w:val="left"/>
        <w:outlineLvl w:val="0"/>
        <w:rPr>
          <w:rFonts w:ascii="Arial" w:hAnsi="Arial" w:cs="Arial"/>
          <w:b/>
          <w:sz w:val="20"/>
          <w:szCs w:val="20"/>
        </w:rPr>
      </w:pPr>
    </w:p>
    <w:p w14:paraId="2BD5E3E4" w14:textId="77777777" w:rsidR="002868FF" w:rsidRDefault="002868FF" w:rsidP="002868FF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COMPETENCIES REQUIRED</w:t>
      </w:r>
      <w:r>
        <w:rPr>
          <w:rFonts w:ascii="Arial" w:hAnsi="Arial" w:cs="Arial"/>
          <w:b/>
          <w:sz w:val="20"/>
          <w:szCs w:val="20"/>
        </w:rPr>
        <w:t xml:space="preserve"> – All post holders must be able to comply with the Council’s </w:t>
      </w:r>
      <w:r w:rsidRPr="001C60EF">
        <w:rPr>
          <w:rFonts w:ascii="Arial" w:hAnsi="Arial" w:cs="Arial"/>
          <w:b/>
          <w:sz w:val="20"/>
          <w:szCs w:val="20"/>
        </w:rPr>
        <w:t>core competency</w:t>
      </w:r>
      <w:r>
        <w:rPr>
          <w:rFonts w:ascii="Arial" w:hAnsi="Arial" w:cs="Arial"/>
          <w:b/>
          <w:sz w:val="20"/>
          <w:szCs w:val="20"/>
        </w:rPr>
        <w:t xml:space="preserve"> requirements, Customer Focus, Communicating and Engaging, Managing Resources and Risk, Organising and Improving Performance, Taking Responsibility, Team Player, and Excellent Leadership</w:t>
      </w:r>
    </w:p>
    <w:p w14:paraId="47945DFF" w14:textId="77777777" w:rsidR="002868FF" w:rsidRDefault="002868FF" w:rsidP="002868FF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21E6D402" w14:textId="77777777" w:rsidR="002868FF" w:rsidRDefault="002868FF" w:rsidP="002868FF">
      <w:pPr>
        <w:ind w:left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SPOKEN ENGLISH FLUENCY DUTY REQUIREMENT - </w:t>
      </w:r>
      <w:r>
        <w:rPr>
          <w:rFonts w:ascii="Arial" w:hAnsi="Arial" w:cs="Arial"/>
          <w:b/>
          <w:bCs/>
          <w:iCs/>
          <w:sz w:val="20"/>
          <w:szCs w:val="20"/>
        </w:rPr>
        <w:t>The ability to converse at ease with members of the public and provide advice in accurate spoken English is essential for this post.</w:t>
      </w:r>
    </w:p>
    <w:p w14:paraId="2F60186F" w14:textId="77777777" w:rsidR="002868FF" w:rsidRDefault="002868FF" w:rsidP="002868FF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14962DA6" w14:textId="77777777" w:rsidR="002868FF" w:rsidRPr="00CD674B" w:rsidRDefault="002868FF" w:rsidP="002868FF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CD674B">
        <w:rPr>
          <w:rFonts w:ascii="Arial" w:hAnsi="Arial" w:cs="Arial"/>
          <w:b/>
          <w:sz w:val="20"/>
          <w:szCs w:val="20"/>
        </w:rPr>
        <w:t>CORPORATE SAFEGUARDING STATEMENT</w:t>
      </w:r>
      <w:r>
        <w:rPr>
          <w:rFonts w:ascii="Arial" w:hAnsi="Arial" w:cs="Arial"/>
          <w:b/>
          <w:sz w:val="20"/>
          <w:szCs w:val="20"/>
        </w:rPr>
        <w:t xml:space="preserve"> – All post holders </w:t>
      </w:r>
      <w:r w:rsidRPr="00CD674B">
        <w:rPr>
          <w:rFonts w:ascii="Arial" w:hAnsi="Arial" w:cs="Arial"/>
          <w:b/>
          <w:sz w:val="20"/>
          <w:szCs w:val="20"/>
          <w:u w:val="single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be committed to applying and upholding the Council’s Corporate Safeguarding Policy Statement.  Specific safeguarding responsibilities should be detailed in this document.</w:t>
      </w:r>
    </w:p>
    <w:p w14:paraId="6061EC2E" w14:textId="77777777" w:rsidR="002868FF" w:rsidRDefault="002868FF" w:rsidP="002868FF">
      <w:pPr>
        <w:outlineLvl w:val="0"/>
        <w:rPr>
          <w:rFonts w:ascii="Arial" w:hAnsi="Arial" w:cs="Arial"/>
          <w:b/>
          <w:sz w:val="20"/>
          <w:szCs w:val="20"/>
        </w:rPr>
      </w:pPr>
    </w:p>
    <w:p w14:paraId="27AE875D" w14:textId="77777777" w:rsidR="002868FF" w:rsidRDefault="002868FF" w:rsidP="002868FF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6D8BCEC7" w14:textId="77777777" w:rsidR="002868FF" w:rsidRDefault="002868FF" w:rsidP="002868FF">
      <w:pPr>
        <w:outlineLvl w:val="0"/>
        <w:rPr>
          <w:rFonts w:ascii="Arial" w:hAnsi="Arial" w:cs="Arial"/>
          <w:b/>
          <w:sz w:val="20"/>
          <w:szCs w:val="20"/>
        </w:rPr>
      </w:pPr>
    </w:p>
    <w:p w14:paraId="278899E3" w14:textId="77777777" w:rsidR="002868FF" w:rsidRPr="000F3FFF" w:rsidRDefault="002868FF" w:rsidP="002868FF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</w:t>
      </w:r>
      <w:r w:rsidRPr="000F3FFF">
        <w:rPr>
          <w:rFonts w:ascii="Arial" w:hAnsi="Arial" w:cs="Arial"/>
          <w:b/>
          <w:sz w:val="20"/>
          <w:szCs w:val="20"/>
        </w:rPr>
        <w:t>er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E845B07" w14:textId="77777777" w:rsidR="002868FF" w:rsidRPr="000F3FFF" w:rsidRDefault="002868FF" w:rsidP="002868F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sz w:val="20"/>
          <w:szCs w:val="20"/>
        </w:rPr>
        <w:t>able to travel to meet service delivery requirements</w:t>
      </w:r>
    </w:p>
    <w:p w14:paraId="76A4F2E8" w14:textId="77777777" w:rsidR="002868FF" w:rsidRDefault="002868FF" w:rsidP="002868F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sz w:val="20"/>
          <w:szCs w:val="20"/>
        </w:rPr>
        <w:t>available to undertake work outside of normal working hours</w:t>
      </w:r>
    </w:p>
    <w:p w14:paraId="3100C919" w14:textId="77777777" w:rsidR="002868FF" w:rsidRDefault="002868FF" w:rsidP="00BE3E1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4116"/>
        <w:gridCol w:w="1826"/>
      </w:tblGrid>
      <w:tr w:rsidR="002868FF" w:rsidRPr="00F06E69" w14:paraId="2AB9CE56" w14:textId="77777777" w:rsidTr="00AA5D45">
        <w:tc>
          <w:tcPr>
            <w:tcW w:w="4116" w:type="dxa"/>
            <w:shd w:val="clear" w:color="auto" w:fill="auto"/>
          </w:tcPr>
          <w:p w14:paraId="062F910A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</w:tcPr>
          <w:p w14:paraId="69DBCEA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14:paraId="3093A1FA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8FF" w:rsidRPr="00F06E69" w14:paraId="610BC6FD" w14:textId="77777777" w:rsidTr="00AA5D45">
        <w:tc>
          <w:tcPr>
            <w:tcW w:w="4116" w:type="dxa"/>
            <w:shd w:val="clear" w:color="auto" w:fill="auto"/>
          </w:tcPr>
          <w:p w14:paraId="352D7CE7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Signed Line Manager     </w:t>
            </w:r>
          </w:p>
        </w:tc>
        <w:tc>
          <w:tcPr>
            <w:tcW w:w="4116" w:type="dxa"/>
            <w:shd w:val="clear" w:color="auto" w:fill="auto"/>
          </w:tcPr>
          <w:p w14:paraId="2D1D8495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Signed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Pr="00F06E69">
              <w:rPr>
                <w:rFonts w:ascii="Arial" w:hAnsi="Arial" w:cs="Arial"/>
                <w:sz w:val="20"/>
                <w:szCs w:val="20"/>
              </w:rPr>
              <w:t xml:space="preserve">Director    </w:t>
            </w:r>
          </w:p>
        </w:tc>
        <w:tc>
          <w:tcPr>
            <w:tcW w:w="1826" w:type="dxa"/>
            <w:shd w:val="clear" w:color="auto" w:fill="auto"/>
          </w:tcPr>
          <w:p w14:paraId="607419B9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8FF" w:rsidRPr="00F06E69" w14:paraId="7A344E79" w14:textId="77777777" w:rsidTr="00AA5D45">
        <w:tc>
          <w:tcPr>
            <w:tcW w:w="4116" w:type="dxa"/>
            <w:shd w:val="clear" w:color="auto" w:fill="auto"/>
          </w:tcPr>
          <w:p w14:paraId="1BDDD09F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992F24" w14:textId="38D1F74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6A3B">
              <w:rPr>
                <w:noProof/>
                <w:lang w:eastAsia="en-GB"/>
              </w:rPr>
              <w:drawing>
                <wp:inline distT="0" distB="0" distL="0" distR="0" wp14:anchorId="7C0AA02C" wp14:editId="0624475A">
                  <wp:extent cx="717550" cy="1047750"/>
                  <wp:effectExtent l="63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175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24794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</w:tcPr>
          <w:p w14:paraId="6470C7E3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B14879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D363136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14:paraId="730AA3A1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8FF" w:rsidRPr="00F06E69" w14:paraId="20CCECE7" w14:textId="77777777" w:rsidTr="00AA5D45">
        <w:tc>
          <w:tcPr>
            <w:tcW w:w="4116" w:type="dxa"/>
            <w:shd w:val="clear" w:color="auto" w:fill="auto"/>
          </w:tcPr>
          <w:p w14:paraId="43B362E1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Print Line Manager   </w:t>
            </w:r>
          </w:p>
          <w:p w14:paraId="53E5335E" w14:textId="77777777" w:rsidR="002868FF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AF090FD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James</w:t>
            </w:r>
          </w:p>
        </w:tc>
        <w:tc>
          <w:tcPr>
            <w:tcW w:w="4116" w:type="dxa"/>
            <w:shd w:val="clear" w:color="auto" w:fill="auto"/>
          </w:tcPr>
          <w:p w14:paraId="19F70CB5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>
              <w:rPr>
                <w:rFonts w:ascii="Arial" w:hAnsi="Arial" w:cs="Arial"/>
                <w:sz w:val="20"/>
                <w:szCs w:val="20"/>
              </w:rPr>
              <w:t>Service</w:t>
            </w:r>
            <w:r w:rsidRPr="00F06E69">
              <w:rPr>
                <w:rFonts w:ascii="Arial" w:hAnsi="Arial" w:cs="Arial"/>
                <w:sz w:val="20"/>
                <w:szCs w:val="20"/>
              </w:rPr>
              <w:t xml:space="preserve"> Director   </w:t>
            </w:r>
          </w:p>
        </w:tc>
        <w:tc>
          <w:tcPr>
            <w:tcW w:w="1826" w:type="dxa"/>
            <w:shd w:val="clear" w:color="auto" w:fill="auto"/>
          </w:tcPr>
          <w:p w14:paraId="35AF4A94" w14:textId="77777777" w:rsidR="002868FF" w:rsidRPr="00F06E69" w:rsidRDefault="002868FF" w:rsidP="00AA5D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27FC68E2" w14:textId="77777777" w:rsidR="002B5116" w:rsidRDefault="00BE3E12"/>
    <w:sectPr w:rsidR="002B5116" w:rsidSect="002868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191"/>
    <w:multiLevelType w:val="hybridMultilevel"/>
    <w:tmpl w:val="CE868E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nO3CEJPOmd7G+1emDrTuOqAS80RArOt7N/Hx3V2wgkjQoYqcLGremFiV/l0iZpKchDMA0FE+nWVKLh+GQbWRg==" w:salt="nT+frP0tZ/Q8vb2utVTiE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FF"/>
    <w:rsid w:val="002868FF"/>
    <w:rsid w:val="00B37EFF"/>
    <w:rsid w:val="00BE3E12"/>
    <w:rsid w:val="00F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810A"/>
  <w15:chartTrackingRefBased/>
  <w15:docId w15:val="{3292945F-541B-4EC7-A64D-E3254E2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FF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1174</Words>
  <Characters>6693</Characters>
  <Application>Microsoft Office Word</Application>
  <DocSecurity>4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Helen Arnold</cp:lastModifiedBy>
  <cp:revision>2</cp:revision>
  <dcterms:created xsi:type="dcterms:W3CDTF">2022-01-19T12:01:00Z</dcterms:created>
  <dcterms:modified xsi:type="dcterms:W3CDTF">2022-01-19T12:01:00Z</dcterms:modified>
</cp:coreProperties>
</file>