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123BA5C6">
        <w:rPr>
          <w:rFonts w:ascii="Amasis MT Pro Black" w:hAnsi="Amasis MT Pro Black"/>
          <w:sz w:val="32"/>
          <w:szCs w:val="32"/>
        </w:rPr>
        <w:t>Role profile</w:t>
      </w:r>
    </w:p>
    <w:p w14:paraId="1808F29A" w14:textId="6B4CF95F" w:rsidR="0017540B" w:rsidRPr="003C2084" w:rsidRDefault="003A2412" w:rsidP="123BA5C6">
      <w:pPr>
        <w:tabs>
          <w:tab w:val="left" w:pos="8036"/>
        </w:tabs>
        <w:spacing w:after="360" w:line="240" w:lineRule="auto"/>
        <w:ind w:left="567" w:right="118"/>
        <w:contextualSpacing/>
        <w:rPr>
          <w:rFonts w:ascii="Amasis MT Std Black" w:hAnsi="Amasis MT Std Black"/>
          <w:sz w:val="48"/>
          <w:szCs w:val="48"/>
        </w:rPr>
      </w:pPr>
      <w:r w:rsidRPr="50597BA3">
        <w:rPr>
          <w:rFonts w:ascii="Amasis MT Pro Black" w:hAnsi="Amasis MT Pro Black"/>
          <w:b/>
          <w:bCs/>
          <w:color w:val="008796"/>
          <w:sz w:val="48"/>
          <w:szCs w:val="48"/>
        </w:rPr>
        <w:t>Section 19</w:t>
      </w:r>
      <w:r w:rsidR="009D67DF" w:rsidRPr="50597BA3">
        <w:rPr>
          <w:rFonts w:ascii="Amasis MT Pro Black" w:hAnsi="Amasis MT Pro Black"/>
          <w:b/>
          <w:bCs/>
          <w:color w:val="008796"/>
          <w:sz w:val="48"/>
          <w:szCs w:val="48"/>
        </w:rPr>
        <w:t xml:space="preserve"> </w:t>
      </w:r>
      <w:r w:rsidR="3528CC1C" w:rsidRPr="50597BA3">
        <w:rPr>
          <w:rFonts w:ascii="Amasis MT Pro Black" w:hAnsi="Amasis MT Pro Black"/>
          <w:b/>
          <w:bCs/>
          <w:color w:val="008796"/>
          <w:sz w:val="48"/>
          <w:szCs w:val="48"/>
        </w:rPr>
        <w:t>Lead</w:t>
      </w:r>
      <w:r w:rsidR="00AF15A4">
        <w:rPr>
          <w:rFonts w:ascii="Amasis MT Pro Black" w:hAnsi="Amasis MT Pro Black"/>
          <w:b/>
          <w:bCs/>
          <w:color w:val="008796"/>
          <w:sz w:val="48"/>
          <w:szCs w:val="48"/>
        </w:rPr>
        <w:t xml:space="preserve"> Teacher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55440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5F8CCD" w:rsidR="00844611" w:rsidRPr="00AF15A4" w:rsidRDefault="75666536" w:rsidP="123BA5C6">
            <w:pPr>
              <w:spacing w:after="0" w:line="240" w:lineRule="auto"/>
              <w:ind w:right="118"/>
              <w:contextualSpacing/>
              <w:rPr>
                <w:noProof/>
                <w:color w:val="000000" w:themeColor="text1"/>
                <w:sz w:val="24"/>
                <w:szCs w:val="24"/>
              </w:rPr>
            </w:pPr>
            <w:r w:rsidRPr="00AF15A4">
              <w:rPr>
                <w:noProof/>
                <w:color w:val="000000" w:themeColor="text1"/>
                <w:sz w:val="24"/>
                <w:szCs w:val="24"/>
              </w:rPr>
              <w:t>SEND</w:t>
            </w:r>
          </w:p>
        </w:tc>
      </w:tr>
      <w:tr w:rsidR="00844611" w:rsidRPr="001F4958" w14:paraId="30526493" w14:textId="77777777" w:rsidTr="0055440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0E38323" w:rsidR="00844611" w:rsidRPr="00AF15A4" w:rsidRDefault="3A5E6366" w:rsidP="123BA5C6">
            <w:pPr>
              <w:spacing w:after="0" w:line="240" w:lineRule="auto"/>
              <w:ind w:right="118"/>
              <w:contextualSpacing/>
              <w:rPr>
                <w:noProof/>
                <w:color w:val="000000" w:themeColor="text1"/>
                <w:sz w:val="24"/>
                <w:szCs w:val="24"/>
              </w:rPr>
            </w:pPr>
            <w:r w:rsidRPr="00AF15A4">
              <w:rPr>
                <w:noProof/>
                <w:color w:val="000000" w:themeColor="text1"/>
                <w:sz w:val="24"/>
                <w:szCs w:val="24"/>
              </w:rPr>
              <w:t>School Setting Inclusion Lead (</w:t>
            </w:r>
            <w:r w:rsidR="7C88F9DF" w:rsidRPr="00AF15A4">
              <w:rPr>
                <w:noProof/>
                <w:color w:val="000000" w:themeColor="text1"/>
                <w:sz w:val="24"/>
                <w:szCs w:val="24"/>
              </w:rPr>
              <w:t>Education Outcomes Service)</w:t>
            </w:r>
          </w:p>
        </w:tc>
      </w:tr>
      <w:tr w:rsidR="00844611" w:rsidRPr="001F4958" w14:paraId="5E47E8CA" w14:textId="77777777" w:rsidTr="0055440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AF15A4" w:rsidRDefault="004B7C10" w:rsidP="00C577BE">
            <w:pPr>
              <w:spacing w:after="0" w:line="240" w:lineRule="auto"/>
              <w:ind w:right="118"/>
              <w:contextualSpacing/>
              <w:rPr>
                <w:rFonts w:cstheme="minorHAnsi"/>
                <w:noProof/>
                <w:color w:val="000000" w:themeColor="text1"/>
                <w:sz w:val="24"/>
                <w:szCs w:val="24"/>
              </w:rPr>
            </w:pPr>
            <w:r w:rsidRPr="00AF15A4">
              <w:rPr>
                <w:rFonts w:cstheme="minorHAnsi"/>
                <w:noProof/>
                <w:color w:val="000000" w:themeColor="text1"/>
                <w:sz w:val="24"/>
                <w:szCs w:val="24"/>
              </w:rPr>
              <w:t>Education</w:t>
            </w:r>
          </w:p>
        </w:tc>
      </w:tr>
      <w:tr w:rsidR="00844611" w:rsidRPr="001F4958" w14:paraId="7C37660B" w14:textId="77777777" w:rsidTr="0055440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9473795" w:rsidR="00844611" w:rsidRPr="00AF15A4" w:rsidRDefault="00554407" w:rsidP="50597BA3">
            <w:pPr>
              <w:spacing w:after="0" w:line="240" w:lineRule="auto"/>
              <w:ind w:right="118"/>
              <w:contextualSpacing/>
              <w:rPr>
                <w:strike/>
                <w:noProof/>
                <w:color w:val="000000" w:themeColor="text1"/>
                <w:sz w:val="24"/>
                <w:szCs w:val="24"/>
              </w:rPr>
            </w:pPr>
            <w:r w:rsidRPr="00AF15A4">
              <w:rPr>
                <w:noProof/>
                <w:color w:val="000000" w:themeColor="text1"/>
                <w:sz w:val="24"/>
                <w:szCs w:val="24"/>
              </w:rPr>
              <w:t>Teacher’s Maingrade / UPS/ plus SEND</w:t>
            </w:r>
          </w:p>
        </w:tc>
      </w:tr>
      <w:tr w:rsidR="00844611" w:rsidRPr="001F4958" w14:paraId="7DCBB216" w14:textId="77777777" w:rsidTr="0055440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08AE606" w:rsidR="00844611" w:rsidRPr="00AF15A4" w:rsidRDefault="00844611" w:rsidP="123BA5C6">
            <w:pPr>
              <w:spacing w:after="0" w:line="240" w:lineRule="auto"/>
              <w:ind w:right="118"/>
              <w:contextualSpacing/>
              <w:rPr>
                <w:noProof/>
                <w:color w:val="000000" w:themeColor="text1"/>
                <w:sz w:val="24"/>
                <w:szCs w:val="24"/>
              </w:rPr>
            </w:pPr>
            <w:r w:rsidRPr="00AF15A4">
              <w:rPr>
                <w:noProof/>
                <w:color w:val="000000" w:themeColor="text1"/>
                <w:sz w:val="24"/>
                <w:szCs w:val="24"/>
              </w:rPr>
              <w:t>N</w:t>
            </w:r>
          </w:p>
        </w:tc>
      </w:tr>
      <w:tr w:rsidR="004B27E7" w:rsidRPr="001F4958" w14:paraId="4FD2C8EE" w14:textId="77777777" w:rsidTr="0055440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E0A003A" w:rsidR="004B27E7" w:rsidRPr="00AF15A4" w:rsidRDefault="00A74C24" w:rsidP="123BA5C6">
            <w:pPr>
              <w:spacing w:after="0" w:line="240" w:lineRule="auto"/>
              <w:ind w:right="118"/>
              <w:contextualSpacing/>
              <w:rPr>
                <w:noProof/>
                <w:color w:val="000000" w:themeColor="text1"/>
                <w:sz w:val="24"/>
                <w:szCs w:val="24"/>
              </w:rPr>
            </w:pPr>
            <w:r w:rsidRPr="00AF15A4">
              <w:rPr>
                <w:rStyle w:val="normaltextrun"/>
                <w:rFonts w:ascii="Calibri" w:hAnsi="Calibri" w:cs="Calibri"/>
                <w:color w:val="000000" w:themeColor="text1"/>
                <w:sz w:val="24"/>
                <w:szCs w:val="24"/>
                <w:shd w:val="clear" w:color="auto" w:fill="FFFFFF"/>
              </w:rPr>
              <w:t>Y – Enhanced plus barred list Child and Adult</w:t>
            </w:r>
          </w:p>
        </w:tc>
      </w:tr>
      <w:tr w:rsidR="00B86474" w:rsidRPr="001F4958" w14:paraId="32A5D7AC" w14:textId="77777777" w:rsidTr="0055440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CDD9B0E" w:rsidR="00B86474" w:rsidRPr="00AF15A4" w:rsidRDefault="00951BD0" w:rsidP="123BA5C6">
            <w:pPr>
              <w:spacing w:after="0" w:line="240" w:lineRule="auto"/>
              <w:ind w:right="118"/>
              <w:contextualSpacing/>
              <w:rPr>
                <w:noProof/>
                <w:color w:val="000000" w:themeColor="text1"/>
                <w:sz w:val="24"/>
                <w:szCs w:val="24"/>
              </w:rPr>
            </w:pPr>
            <w:r w:rsidRPr="00AF15A4">
              <w:rPr>
                <w:noProof/>
                <w:color w:val="000000" w:themeColor="text1"/>
                <w:sz w:val="24"/>
                <w:szCs w:val="24"/>
              </w:rPr>
              <w:t>July</w:t>
            </w:r>
            <w:r w:rsidR="003A2412" w:rsidRPr="00AF15A4">
              <w:rPr>
                <w:noProof/>
                <w:color w:val="000000" w:themeColor="text1"/>
                <w:sz w:val="24"/>
                <w:szCs w:val="24"/>
              </w:rPr>
              <w:t xml:space="preserve"> 2025</w:t>
            </w:r>
          </w:p>
        </w:tc>
      </w:tr>
      <w:tr w:rsidR="00844611" w:rsidRPr="001F4958" w14:paraId="0E487A16" w14:textId="77777777" w:rsidTr="0055440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357A6C2" w:rsidR="00844611" w:rsidRPr="00AF15A4" w:rsidRDefault="00554407" w:rsidP="123BA5C6">
            <w:pPr>
              <w:spacing w:after="0" w:line="240" w:lineRule="auto"/>
              <w:ind w:right="118"/>
              <w:contextualSpacing/>
              <w:rPr>
                <w:noProof/>
                <w:color w:val="000000" w:themeColor="text1"/>
                <w:sz w:val="24"/>
                <w:szCs w:val="24"/>
              </w:rPr>
            </w:pPr>
            <w:r w:rsidRPr="00AF15A4">
              <w:rPr>
                <w:noProof/>
                <w:color w:val="000000" w:themeColor="text1"/>
                <w:sz w:val="24"/>
                <w:szCs w:val="24"/>
              </w:rPr>
              <w:t>MK Teach 005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F15A4" w:rsidRPr="00AF15A4" w14:paraId="5C8C87F7" w14:textId="77777777" w:rsidTr="123BA5C6">
        <w:tc>
          <w:tcPr>
            <w:tcW w:w="456" w:type="dxa"/>
          </w:tcPr>
          <w:p w14:paraId="317D298E" w14:textId="6E2B1C38" w:rsidR="000D2837" w:rsidRPr="00AF15A4" w:rsidRDefault="000D2837" w:rsidP="00C577BE">
            <w:pPr>
              <w:spacing w:after="0" w:line="240" w:lineRule="auto"/>
              <w:ind w:right="118"/>
              <w:rPr>
                <w:b/>
                <w:bCs/>
                <w:color w:val="000000" w:themeColor="text1"/>
                <w:sz w:val="24"/>
                <w:szCs w:val="24"/>
              </w:rPr>
            </w:pPr>
            <w:bookmarkStart w:id="0" w:name="_Hlk163835639"/>
            <w:r w:rsidRPr="00AF15A4">
              <w:rPr>
                <w:b/>
                <w:bCs/>
                <w:color w:val="000000" w:themeColor="text1"/>
                <w:sz w:val="24"/>
                <w:szCs w:val="24"/>
              </w:rPr>
              <w:t>1</w:t>
            </w:r>
          </w:p>
        </w:tc>
        <w:tc>
          <w:tcPr>
            <w:tcW w:w="9072" w:type="dxa"/>
          </w:tcPr>
          <w:p w14:paraId="29AFE90E" w14:textId="13DEDEC5" w:rsidR="000D2837" w:rsidRPr="00AF15A4" w:rsidRDefault="004049DF"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Consider referrals for and m</w:t>
            </w:r>
            <w:r w:rsidR="005E11E0" w:rsidRPr="00AF15A4">
              <w:rPr>
                <w:rStyle w:val="normaltextrun"/>
                <w:rFonts w:ascii="Calibri" w:hAnsi="Calibri" w:cs="Calibri"/>
                <w:color w:val="000000" w:themeColor="text1"/>
                <w:sz w:val="21"/>
                <w:szCs w:val="21"/>
              </w:rPr>
              <w:t>anage</w:t>
            </w:r>
            <w:r w:rsidR="007A3A95" w:rsidRPr="00AF15A4">
              <w:rPr>
                <w:rStyle w:val="normaltextrun"/>
                <w:rFonts w:ascii="Calibri" w:hAnsi="Calibri" w:cs="Calibri"/>
                <w:color w:val="000000" w:themeColor="text1"/>
                <w:sz w:val="21"/>
                <w:szCs w:val="21"/>
              </w:rPr>
              <w:t xml:space="preserve"> educational packages for children and young people </w:t>
            </w:r>
            <w:r w:rsidR="00603BCD" w:rsidRPr="00AF15A4">
              <w:rPr>
                <w:rStyle w:val="normaltextrun"/>
                <w:rFonts w:ascii="Calibri" w:hAnsi="Calibri" w:cs="Calibri"/>
                <w:color w:val="000000" w:themeColor="text1"/>
                <w:sz w:val="21"/>
                <w:szCs w:val="21"/>
              </w:rPr>
              <w:t xml:space="preserve">(CYP) </w:t>
            </w:r>
            <w:r w:rsidR="003A2412" w:rsidRPr="00AF15A4">
              <w:rPr>
                <w:rStyle w:val="normaltextrun"/>
                <w:rFonts w:ascii="Calibri" w:hAnsi="Calibri" w:cs="Calibri"/>
                <w:color w:val="000000" w:themeColor="text1"/>
                <w:sz w:val="21"/>
                <w:szCs w:val="21"/>
              </w:rPr>
              <w:t xml:space="preserve">who meet the criteria for </w:t>
            </w:r>
            <w:r w:rsidR="00D83F01" w:rsidRPr="00AF15A4">
              <w:rPr>
                <w:rStyle w:val="normaltextrun"/>
                <w:rFonts w:ascii="Calibri" w:hAnsi="Calibri" w:cs="Calibri"/>
                <w:color w:val="000000" w:themeColor="text1"/>
                <w:sz w:val="21"/>
                <w:szCs w:val="21"/>
              </w:rPr>
              <w:t>S</w:t>
            </w:r>
            <w:r w:rsidR="003A2412" w:rsidRPr="00AF15A4">
              <w:rPr>
                <w:rStyle w:val="normaltextrun"/>
                <w:rFonts w:ascii="Calibri" w:hAnsi="Calibri" w:cs="Calibri"/>
                <w:color w:val="000000" w:themeColor="text1"/>
                <w:sz w:val="21"/>
                <w:szCs w:val="21"/>
              </w:rPr>
              <w:t xml:space="preserve">ection 19 education to be put in place. </w:t>
            </w:r>
            <w:r w:rsidR="00D83F01" w:rsidRPr="00AF15A4">
              <w:rPr>
                <w:rStyle w:val="normaltextrun"/>
                <w:rFonts w:ascii="Calibri" w:hAnsi="Calibri" w:cs="Calibri"/>
                <w:color w:val="000000" w:themeColor="text1"/>
                <w:sz w:val="21"/>
                <w:szCs w:val="21"/>
              </w:rPr>
              <w:t>S</w:t>
            </w:r>
            <w:r w:rsidR="007A3A95" w:rsidRPr="00AF15A4">
              <w:rPr>
                <w:rStyle w:val="normaltextrun"/>
                <w:rFonts w:ascii="Calibri" w:hAnsi="Calibri" w:cs="Calibri"/>
                <w:color w:val="000000" w:themeColor="text1"/>
                <w:sz w:val="21"/>
                <w:szCs w:val="21"/>
              </w:rPr>
              <w:t xml:space="preserve">pend </w:t>
            </w:r>
            <w:r w:rsidR="00334037" w:rsidRPr="00AF15A4">
              <w:rPr>
                <w:rStyle w:val="normaltextrun"/>
                <w:rFonts w:ascii="Calibri" w:hAnsi="Calibri" w:cs="Calibri"/>
                <w:color w:val="000000" w:themeColor="text1"/>
                <w:sz w:val="21"/>
                <w:szCs w:val="21"/>
              </w:rPr>
              <w:t xml:space="preserve">time </w:t>
            </w:r>
            <w:r w:rsidR="007A3A95" w:rsidRPr="00AF15A4">
              <w:rPr>
                <w:rStyle w:val="normaltextrun"/>
                <w:rFonts w:ascii="Calibri" w:hAnsi="Calibri" w:cs="Calibri"/>
                <w:color w:val="000000" w:themeColor="text1"/>
                <w:sz w:val="21"/>
                <w:szCs w:val="21"/>
              </w:rPr>
              <w:t>working direct</w:t>
            </w:r>
            <w:r w:rsidR="00D83F01" w:rsidRPr="00AF15A4">
              <w:rPr>
                <w:rStyle w:val="normaltextrun"/>
                <w:rFonts w:ascii="Calibri" w:hAnsi="Calibri" w:cs="Calibri"/>
                <w:color w:val="000000" w:themeColor="text1"/>
                <w:sz w:val="21"/>
                <w:szCs w:val="21"/>
              </w:rPr>
              <w:t>ly</w:t>
            </w:r>
            <w:r w:rsidR="007A3A95" w:rsidRPr="00AF15A4">
              <w:rPr>
                <w:rStyle w:val="normaltextrun"/>
                <w:rFonts w:ascii="Calibri" w:hAnsi="Calibri" w:cs="Calibri"/>
                <w:color w:val="000000" w:themeColor="text1"/>
                <w:sz w:val="21"/>
                <w:szCs w:val="21"/>
              </w:rPr>
              <w:t xml:space="preserve"> with children and young people who are </w:t>
            </w:r>
            <w:r w:rsidR="00D83F01" w:rsidRPr="00AF15A4">
              <w:rPr>
                <w:rStyle w:val="normaltextrun"/>
                <w:rFonts w:ascii="Calibri" w:hAnsi="Calibri" w:cs="Calibri"/>
                <w:color w:val="000000" w:themeColor="text1"/>
                <w:sz w:val="21"/>
                <w:szCs w:val="21"/>
              </w:rPr>
              <w:t>S</w:t>
            </w:r>
            <w:r w:rsidR="003A2412" w:rsidRPr="00AF15A4">
              <w:rPr>
                <w:rStyle w:val="normaltextrun"/>
                <w:rFonts w:ascii="Calibri" w:hAnsi="Calibri" w:cs="Calibri"/>
                <w:color w:val="000000" w:themeColor="text1"/>
                <w:sz w:val="21"/>
                <w:szCs w:val="21"/>
              </w:rPr>
              <w:t>ection 19</w:t>
            </w:r>
            <w:r w:rsidR="00E730B5" w:rsidRPr="00AF15A4">
              <w:rPr>
                <w:rStyle w:val="normaltextrun"/>
                <w:rFonts w:ascii="Calibri" w:hAnsi="Calibri" w:cs="Calibri"/>
                <w:color w:val="000000" w:themeColor="text1"/>
                <w:sz w:val="21"/>
                <w:szCs w:val="21"/>
              </w:rPr>
              <w:t xml:space="preserve"> as part of a caseload</w:t>
            </w:r>
            <w:r w:rsidR="007A3A95" w:rsidRPr="00AF15A4">
              <w:rPr>
                <w:rStyle w:val="normaltextrun"/>
                <w:rFonts w:ascii="Calibri" w:hAnsi="Calibri" w:cs="Calibri"/>
                <w:color w:val="000000" w:themeColor="text1"/>
                <w:sz w:val="21"/>
                <w:szCs w:val="21"/>
              </w:rPr>
              <w:t>. En</w:t>
            </w:r>
            <w:r w:rsidR="00D74CE9" w:rsidRPr="00AF15A4">
              <w:rPr>
                <w:rStyle w:val="normaltextrun"/>
                <w:rFonts w:ascii="Calibri" w:hAnsi="Calibri" w:cs="Calibri"/>
                <w:color w:val="000000" w:themeColor="text1"/>
                <w:sz w:val="21"/>
                <w:szCs w:val="21"/>
              </w:rPr>
              <w:t>sure</w:t>
            </w:r>
            <w:r w:rsidR="007A3A95" w:rsidRPr="00AF15A4">
              <w:rPr>
                <w:rStyle w:val="normaltextrun"/>
                <w:rFonts w:ascii="Calibri" w:hAnsi="Calibri" w:cs="Calibri"/>
                <w:color w:val="000000" w:themeColor="text1"/>
                <w:sz w:val="21"/>
                <w:szCs w:val="21"/>
              </w:rPr>
              <w:t xml:space="preserve"> packages take into consideration the pressures on the High Needs Bl</w:t>
            </w:r>
            <w:r w:rsidR="00AC797C" w:rsidRPr="00AF15A4">
              <w:rPr>
                <w:rStyle w:val="normaltextrun"/>
                <w:rFonts w:ascii="Calibri" w:hAnsi="Calibri" w:cs="Calibri"/>
                <w:color w:val="000000" w:themeColor="text1"/>
                <w:sz w:val="21"/>
                <w:szCs w:val="21"/>
              </w:rPr>
              <w:t>o</w:t>
            </w:r>
            <w:r w:rsidR="007A3A95" w:rsidRPr="00AF15A4">
              <w:rPr>
                <w:rStyle w:val="normaltextrun"/>
                <w:rFonts w:ascii="Calibri" w:hAnsi="Calibri" w:cs="Calibri"/>
                <w:color w:val="000000" w:themeColor="text1"/>
                <w:sz w:val="21"/>
                <w:szCs w:val="21"/>
              </w:rPr>
              <w:t>ck and provide value for money.</w:t>
            </w:r>
            <w:r w:rsidR="003A2412" w:rsidRPr="00AF15A4">
              <w:rPr>
                <w:rStyle w:val="normaltextrun"/>
                <w:rFonts w:ascii="Calibri" w:hAnsi="Calibri" w:cs="Calibri"/>
                <w:color w:val="000000" w:themeColor="text1"/>
                <w:sz w:val="21"/>
                <w:szCs w:val="21"/>
              </w:rPr>
              <w:t xml:space="preserve"> This will be completed in partnership with the EOTAS/EHE Co-Ordinator ensuring that groups are set up </w:t>
            </w:r>
            <w:r w:rsidR="00154570" w:rsidRPr="00AF15A4">
              <w:rPr>
                <w:rStyle w:val="normaltextrun"/>
                <w:rFonts w:ascii="Calibri" w:hAnsi="Calibri" w:cs="Calibri"/>
                <w:color w:val="000000" w:themeColor="text1"/>
                <w:sz w:val="21"/>
                <w:szCs w:val="21"/>
              </w:rPr>
              <w:t>opposed</w:t>
            </w:r>
            <w:r w:rsidR="003A2412" w:rsidRPr="00AF15A4">
              <w:rPr>
                <w:rStyle w:val="normaltextrun"/>
                <w:rFonts w:ascii="Calibri" w:hAnsi="Calibri" w:cs="Calibri"/>
                <w:color w:val="000000" w:themeColor="text1"/>
                <w:sz w:val="21"/>
                <w:szCs w:val="21"/>
              </w:rPr>
              <w:t xml:space="preserve"> to individual packages. </w:t>
            </w:r>
          </w:p>
        </w:tc>
      </w:tr>
      <w:tr w:rsidR="00AF15A4" w:rsidRPr="00AF15A4" w14:paraId="1175A00B" w14:textId="77777777" w:rsidTr="123BA5C6">
        <w:tc>
          <w:tcPr>
            <w:tcW w:w="456" w:type="dxa"/>
          </w:tcPr>
          <w:p w14:paraId="1648EC52" w14:textId="06E671FB" w:rsidR="000D2837" w:rsidRPr="00AF15A4" w:rsidRDefault="000D2837" w:rsidP="00C577BE">
            <w:pPr>
              <w:spacing w:after="0" w:line="240" w:lineRule="auto"/>
              <w:ind w:right="118"/>
              <w:rPr>
                <w:b/>
                <w:bCs/>
                <w:color w:val="000000" w:themeColor="text1"/>
                <w:sz w:val="24"/>
                <w:szCs w:val="24"/>
              </w:rPr>
            </w:pPr>
            <w:r w:rsidRPr="00AF15A4">
              <w:rPr>
                <w:b/>
                <w:bCs/>
                <w:color w:val="000000" w:themeColor="text1"/>
                <w:sz w:val="24"/>
                <w:szCs w:val="24"/>
              </w:rPr>
              <w:t>2</w:t>
            </w:r>
          </w:p>
        </w:tc>
        <w:tc>
          <w:tcPr>
            <w:tcW w:w="9072" w:type="dxa"/>
          </w:tcPr>
          <w:p w14:paraId="069EB440" w14:textId="168793FC" w:rsidR="000D2837" w:rsidRPr="00AF15A4" w:rsidRDefault="00D74CE9"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 xml:space="preserve">Support schools to plan for </w:t>
            </w:r>
            <w:r w:rsidR="003A2412" w:rsidRPr="00AF15A4">
              <w:rPr>
                <w:rStyle w:val="normaltextrun"/>
                <w:rFonts w:ascii="Calibri" w:hAnsi="Calibri" w:cs="Calibri"/>
                <w:color w:val="000000" w:themeColor="text1"/>
                <w:sz w:val="21"/>
                <w:szCs w:val="21"/>
              </w:rPr>
              <w:t>the</w:t>
            </w:r>
            <w:r w:rsidR="00F65C30" w:rsidRPr="00AF15A4">
              <w:rPr>
                <w:rStyle w:val="normaltextrun"/>
                <w:rFonts w:ascii="Calibri" w:hAnsi="Calibri" w:cs="Calibri"/>
                <w:color w:val="000000" w:themeColor="text1"/>
                <w:sz w:val="21"/>
                <w:szCs w:val="21"/>
              </w:rPr>
              <w:t xml:space="preserve"> transition</w:t>
            </w:r>
            <w:r w:rsidRPr="00AF15A4">
              <w:rPr>
                <w:rStyle w:val="normaltextrun"/>
                <w:rFonts w:ascii="Calibri" w:hAnsi="Calibri" w:cs="Calibri"/>
                <w:color w:val="000000" w:themeColor="text1"/>
                <w:sz w:val="21"/>
                <w:szCs w:val="21"/>
              </w:rPr>
              <w:t xml:space="preserve"> of</w:t>
            </w:r>
            <w:r w:rsidR="00F65C30" w:rsidRPr="00AF15A4">
              <w:rPr>
                <w:rStyle w:val="normaltextrun"/>
                <w:rFonts w:ascii="Calibri" w:hAnsi="Calibri" w:cs="Calibri"/>
                <w:color w:val="000000" w:themeColor="text1"/>
                <w:sz w:val="21"/>
                <w:szCs w:val="21"/>
              </w:rPr>
              <w:t xml:space="preserve"> CYP who </w:t>
            </w:r>
            <w:proofErr w:type="gramStart"/>
            <w:r w:rsidR="00F65C30" w:rsidRPr="00AF15A4">
              <w:rPr>
                <w:rStyle w:val="normaltextrun"/>
                <w:rFonts w:ascii="Calibri" w:hAnsi="Calibri" w:cs="Calibri"/>
                <w:color w:val="000000" w:themeColor="text1"/>
                <w:sz w:val="21"/>
                <w:szCs w:val="21"/>
              </w:rPr>
              <w:t xml:space="preserve">were </w:t>
            </w:r>
            <w:r w:rsidRPr="00AF15A4">
              <w:rPr>
                <w:rStyle w:val="normaltextrun"/>
                <w:rFonts w:ascii="Calibri" w:hAnsi="Calibri" w:cs="Calibri"/>
                <w:color w:val="000000" w:themeColor="text1"/>
                <w:sz w:val="21"/>
                <w:szCs w:val="21"/>
              </w:rPr>
              <w:t>S</w:t>
            </w:r>
            <w:r w:rsidR="003A2412" w:rsidRPr="00AF15A4">
              <w:rPr>
                <w:rStyle w:val="normaltextrun"/>
                <w:rFonts w:ascii="Calibri" w:hAnsi="Calibri" w:cs="Calibri"/>
                <w:color w:val="000000" w:themeColor="text1"/>
                <w:sz w:val="21"/>
                <w:szCs w:val="21"/>
              </w:rPr>
              <w:t>ection 19 in</w:t>
            </w:r>
            <w:proofErr w:type="gramEnd"/>
            <w:r w:rsidR="00F65C30" w:rsidRPr="00AF15A4">
              <w:rPr>
                <w:rStyle w:val="normaltextrun"/>
                <w:rFonts w:ascii="Calibri" w:hAnsi="Calibri" w:cs="Calibri"/>
                <w:color w:val="000000" w:themeColor="text1"/>
                <w:sz w:val="21"/>
                <w:szCs w:val="21"/>
              </w:rPr>
              <w:t xml:space="preserve"> </w:t>
            </w:r>
            <w:proofErr w:type="gramStart"/>
            <w:r w:rsidR="00F65C30" w:rsidRPr="00AF15A4">
              <w:rPr>
                <w:rStyle w:val="normaltextrun"/>
                <w:rFonts w:ascii="Calibri" w:hAnsi="Calibri" w:cs="Calibri"/>
                <w:color w:val="000000" w:themeColor="text1"/>
                <w:sz w:val="21"/>
                <w:szCs w:val="21"/>
              </w:rPr>
              <w:t>returning back</w:t>
            </w:r>
            <w:proofErr w:type="gramEnd"/>
            <w:r w:rsidR="00F65C30" w:rsidRPr="00AF15A4">
              <w:rPr>
                <w:rStyle w:val="normaltextrun"/>
                <w:rFonts w:ascii="Calibri" w:hAnsi="Calibri" w:cs="Calibri"/>
                <w:color w:val="000000" w:themeColor="text1"/>
                <w:sz w:val="21"/>
                <w:szCs w:val="21"/>
              </w:rPr>
              <w:t xml:space="preserve"> into </w:t>
            </w:r>
            <w:r w:rsidR="003A2412" w:rsidRPr="00AF15A4">
              <w:rPr>
                <w:rStyle w:val="normaltextrun"/>
                <w:rFonts w:ascii="Calibri" w:hAnsi="Calibri" w:cs="Calibri"/>
                <w:color w:val="000000" w:themeColor="text1"/>
                <w:sz w:val="21"/>
                <w:szCs w:val="21"/>
              </w:rPr>
              <w:t>their</w:t>
            </w:r>
            <w:r w:rsidR="00F65C30" w:rsidRPr="00AF15A4">
              <w:rPr>
                <w:rStyle w:val="normaltextrun"/>
                <w:rFonts w:ascii="Calibri" w:hAnsi="Calibri" w:cs="Calibri"/>
                <w:color w:val="000000" w:themeColor="text1"/>
                <w:sz w:val="21"/>
                <w:szCs w:val="21"/>
              </w:rPr>
              <w:t xml:space="preserve"> educational setting</w:t>
            </w:r>
            <w:r w:rsidR="003A2412" w:rsidRPr="00AF15A4">
              <w:rPr>
                <w:rStyle w:val="normaltextrun"/>
                <w:rFonts w:ascii="Calibri" w:hAnsi="Calibri" w:cs="Calibri"/>
                <w:color w:val="000000" w:themeColor="text1"/>
                <w:sz w:val="21"/>
                <w:szCs w:val="21"/>
              </w:rPr>
              <w:t xml:space="preserve">. </w:t>
            </w:r>
          </w:p>
        </w:tc>
      </w:tr>
      <w:tr w:rsidR="00AF15A4" w:rsidRPr="00AF15A4" w14:paraId="52DB8D7D" w14:textId="77777777" w:rsidTr="123BA5C6">
        <w:tc>
          <w:tcPr>
            <w:tcW w:w="456" w:type="dxa"/>
          </w:tcPr>
          <w:p w14:paraId="68898096" w14:textId="51AF515F" w:rsidR="000D2837" w:rsidRPr="00AF15A4" w:rsidRDefault="000D2837" w:rsidP="00C577BE">
            <w:pPr>
              <w:spacing w:after="0" w:line="240" w:lineRule="auto"/>
              <w:ind w:right="118"/>
              <w:rPr>
                <w:b/>
                <w:bCs/>
                <w:color w:val="000000" w:themeColor="text1"/>
                <w:sz w:val="24"/>
                <w:szCs w:val="24"/>
              </w:rPr>
            </w:pPr>
            <w:r w:rsidRPr="00AF15A4">
              <w:rPr>
                <w:b/>
                <w:bCs/>
                <w:color w:val="000000" w:themeColor="text1"/>
                <w:sz w:val="24"/>
                <w:szCs w:val="24"/>
              </w:rPr>
              <w:t>3</w:t>
            </w:r>
          </w:p>
        </w:tc>
        <w:tc>
          <w:tcPr>
            <w:tcW w:w="9072" w:type="dxa"/>
          </w:tcPr>
          <w:p w14:paraId="7E16FC57" w14:textId="4857FF04" w:rsidR="000D2837" w:rsidRPr="00AF15A4" w:rsidRDefault="003A2412"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color w:val="000000" w:themeColor="text1"/>
              </w:rPr>
              <w:t>W</w:t>
            </w:r>
            <w:r w:rsidRPr="00AF15A4">
              <w:rPr>
                <w:rStyle w:val="normaltextrun"/>
                <w:rFonts w:ascii="Calibri" w:hAnsi="Calibri" w:cs="Calibri"/>
                <w:color w:val="000000" w:themeColor="text1"/>
                <w:sz w:val="21"/>
                <w:szCs w:val="21"/>
              </w:rPr>
              <w:t>here a child/ young person has an EHCP, w</w:t>
            </w:r>
            <w:r w:rsidR="0080300A" w:rsidRPr="00AF15A4">
              <w:rPr>
                <w:rStyle w:val="normaltextrun"/>
                <w:rFonts w:ascii="Calibri" w:hAnsi="Calibri" w:cs="Calibri"/>
                <w:color w:val="000000" w:themeColor="text1"/>
                <w:sz w:val="21"/>
                <w:szCs w:val="21"/>
              </w:rPr>
              <w:t>ork in partnership with the</w:t>
            </w:r>
            <w:r w:rsidRPr="00AF15A4">
              <w:rPr>
                <w:rStyle w:val="normaltextrun"/>
                <w:rFonts w:ascii="Calibri" w:hAnsi="Calibri" w:cs="Calibri"/>
                <w:color w:val="000000" w:themeColor="text1"/>
                <w:sz w:val="21"/>
                <w:szCs w:val="21"/>
              </w:rPr>
              <w:t xml:space="preserve"> current school and the</w:t>
            </w:r>
            <w:r w:rsidR="0080300A" w:rsidRPr="00AF15A4">
              <w:rPr>
                <w:rStyle w:val="normaltextrun"/>
                <w:rFonts w:ascii="Calibri" w:hAnsi="Calibri" w:cs="Calibri"/>
                <w:color w:val="000000" w:themeColor="text1"/>
                <w:sz w:val="21"/>
                <w:szCs w:val="21"/>
              </w:rPr>
              <w:t xml:space="preserve"> EHC Assessment/Revie</w:t>
            </w:r>
            <w:r w:rsidR="007511EB" w:rsidRPr="00AF15A4">
              <w:rPr>
                <w:rStyle w:val="normaltextrun"/>
                <w:rFonts w:ascii="Calibri" w:hAnsi="Calibri" w:cs="Calibri"/>
                <w:color w:val="000000" w:themeColor="text1"/>
                <w:sz w:val="21"/>
                <w:szCs w:val="21"/>
              </w:rPr>
              <w:t>w</w:t>
            </w:r>
            <w:r w:rsidR="0080300A" w:rsidRPr="00AF15A4">
              <w:rPr>
                <w:rStyle w:val="normaltextrun"/>
                <w:rFonts w:ascii="Calibri" w:hAnsi="Calibri" w:cs="Calibri"/>
                <w:color w:val="000000" w:themeColor="text1"/>
                <w:sz w:val="21"/>
                <w:szCs w:val="21"/>
              </w:rPr>
              <w:t xml:space="preserve"> Officers to co-ordinate annual reviews </w:t>
            </w:r>
            <w:r w:rsidR="00E31DA9" w:rsidRPr="00AF15A4">
              <w:rPr>
                <w:rStyle w:val="normaltextrun"/>
                <w:rFonts w:ascii="Calibri" w:hAnsi="Calibri" w:cs="Calibri"/>
                <w:color w:val="000000" w:themeColor="text1"/>
                <w:sz w:val="21"/>
                <w:szCs w:val="21"/>
              </w:rPr>
              <w:t xml:space="preserve">ensuring the statutory requirements for annual reviews for </w:t>
            </w:r>
            <w:r w:rsidRPr="00AF15A4">
              <w:rPr>
                <w:rStyle w:val="normaltextrun"/>
                <w:rFonts w:ascii="Calibri" w:hAnsi="Calibri" w:cs="Calibri"/>
                <w:color w:val="000000" w:themeColor="text1"/>
                <w:sz w:val="21"/>
                <w:szCs w:val="21"/>
              </w:rPr>
              <w:t>Section 19</w:t>
            </w:r>
            <w:r w:rsidR="00E31DA9" w:rsidRPr="00AF15A4">
              <w:rPr>
                <w:rStyle w:val="normaltextrun"/>
                <w:rFonts w:ascii="Calibri" w:hAnsi="Calibri" w:cs="Calibri"/>
                <w:color w:val="000000" w:themeColor="text1"/>
                <w:sz w:val="21"/>
                <w:szCs w:val="21"/>
              </w:rPr>
              <w:t xml:space="preserve"> </w:t>
            </w:r>
            <w:r w:rsidR="00154570" w:rsidRPr="00AF15A4">
              <w:rPr>
                <w:rStyle w:val="normaltextrun"/>
                <w:rFonts w:ascii="Calibri" w:hAnsi="Calibri" w:cs="Calibri"/>
                <w:color w:val="000000" w:themeColor="text1"/>
                <w:sz w:val="21"/>
                <w:szCs w:val="21"/>
              </w:rPr>
              <w:t>CYP</w:t>
            </w:r>
            <w:r w:rsidR="00E31DA9" w:rsidRPr="00AF15A4">
              <w:rPr>
                <w:rStyle w:val="normaltextrun"/>
                <w:rFonts w:ascii="Calibri" w:hAnsi="Calibri" w:cs="Calibri"/>
                <w:color w:val="000000" w:themeColor="text1"/>
                <w:sz w:val="21"/>
                <w:szCs w:val="21"/>
              </w:rPr>
              <w:t xml:space="preserve"> meet statutory deadlines</w:t>
            </w:r>
            <w:r w:rsidR="00F60FDA" w:rsidRPr="00AF15A4">
              <w:rPr>
                <w:rStyle w:val="normaltextrun"/>
                <w:rFonts w:ascii="Calibri" w:hAnsi="Calibri" w:cs="Calibri"/>
                <w:color w:val="000000" w:themeColor="text1"/>
                <w:sz w:val="21"/>
                <w:szCs w:val="21"/>
              </w:rPr>
              <w:t>. This</w:t>
            </w:r>
            <w:r w:rsidR="00603BCD" w:rsidRPr="00AF15A4">
              <w:rPr>
                <w:rStyle w:val="normaltextrun"/>
                <w:rFonts w:ascii="Calibri" w:hAnsi="Calibri" w:cs="Calibri"/>
                <w:color w:val="000000" w:themeColor="text1"/>
                <w:sz w:val="21"/>
                <w:szCs w:val="21"/>
              </w:rPr>
              <w:t xml:space="preserve"> will</w:t>
            </w:r>
            <w:r w:rsidR="00F60FDA" w:rsidRPr="00AF15A4">
              <w:rPr>
                <w:rStyle w:val="normaltextrun"/>
                <w:rFonts w:ascii="Calibri" w:hAnsi="Calibri" w:cs="Calibri"/>
                <w:color w:val="000000" w:themeColor="text1"/>
                <w:sz w:val="21"/>
                <w:szCs w:val="21"/>
              </w:rPr>
              <w:t xml:space="preserve"> include </w:t>
            </w:r>
            <w:r w:rsidR="009F59B2" w:rsidRPr="00AF15A4">
              <w:rPr>
                <w:rStyle w:val="normaltextrun"/>
                <w:rFonts w:ascii="Calibri" w:hAnsi="Calibri" w:cs="Calibri"/>
                <w:color w:val="000000" w:themeColor="text1"/>
                <w:sz w:val="21"/>
                <w:szCs w:val="21"/>
              </w:rPr>
              <w:t>communicating with families, where plans may need to be amended or</w:t>
            </w:r>
            <w:r w:rsidR="00757260" w:rsidRPr="00AF15A4">
              <w:rPr>
                <w:rStyle w:val="normaltextrun"/>
                <w:rFonts w:ascii="Calibri" w:hAnsi="Calibri" w:cs="Calibri"/>
                <w:color w:val="000000" w:themeColor="text1"/>
                <w:sz w:val="21"/>
                <w:szCs w:val="21"/>
              </w:rPr>
              <w:t>,</w:t>
            </w:r>
            <w:r w:rsidR="009F59B2" w:rsidRPr="00AF15A4">
              <w:rPr>
                <w:rStyle w:val="normaltextrun"/>
                <w:rFonts w:ascii="Calibri" w:hAnsi="Calibri" w:cs="Calibri"/>
                <w:color w:val="000000" w:themeColor="text1"/>
                <w:sz w:val="21"/>
                <w:szCs w:val="21"/>
              </w:rPr>
              <w:t xml:space="preserve"> </w:t>
            </w:r>
            <w:r w:rsidR="00871278" w:rsidRPr="00AF15A4">
              <w:rPr>
                <w:rStyle w:val="normaltextrun"/>
                <w:rFonts w:ascii="Calibri" w:hAnsi="Calibri" w:cs="Calibri"/>
                <w:color w:val="000000" w:themeColor="text1"/>
                <w:sz w:val="21"/>
                <w:szCs w:val="21"/>
              </w:rPr>
              <w:t>in some cases</w:t>
            </w:r>
            <w:r w:rsidR="00757260" w:rsidRPr="00AF15A4">
              <w:rPr>
                <w:rStyle w:val="normaltextrun"/>
                <w:rFonts w:ascii="Calibri" w:hAnsi="Calibri" w:cs="Calibri"/>
                <w:color w:val="000000" w:themeColor="text1"/>
                <w:sz w:val="21"/>
                <w:szCs w:val="21"/>
              </w:rPr>
              <w:t>,</w:t>
            </w:r>
            <w:r w:rsidR="00871278" w:rsidRPr="00AF15A4">
              <w:rPr>
                <w:rStyle w:val="normaltextrun"/>
                <w:rFonts w:ascii="Calibri" w:hAnsi="Calibri" w:cs="Calibri"/>
                <w:color w:val="000000" w:themeColor="text1"/>
                <w:sz w:val="21"/>
                <w:szCs w:val="21"/>
              </w:rPr>
              <w:t xml:space="preserve"> </w:t>
            </w:r>
            <w:r w:rsidR="009F59B2" w:rsidRPr="00AF15A4">
              <w:rPr>
                <w:rStyle w:val="normaltextrun"/>
                <w:rFonts w:ascii="Calibri" w:hAnsi="Calibri" w:cs="Calibri"/>
                <w:color w:val="000000" w:themeColor="text1"/>
                <w:sz w:val="21"/>
                <w:szCs w:val="21"/>
              </w:rPr>
              <w:t>terminated.</w:t>
            </w:r>
          </w:p>
        </w:tc>
      </w:tr>
      <w:tr w:rsidR="00AF15A4" w:rsidRPr="00AF15A4" w14:paraId="41071A23" w14:textId="77777777" w:rsidTr="123BA5C6">
        <w:tc>
          <w:tcPr>
            <w:tcW w:w="456" w:type="dxa"/>
          </w:tcPr>
          <w:p w14:paraId="4BCFE63A" w14:textId="4DD18346" w:rsidR="000D2837" w:rsidRPr="00AF15A4" w:rsidRDefault="000D2837" w:rsidP="00C577BE">
            <w:pPr>
              <w:spacing w:after="0" w:line="240" w:lineRule="auto"/>
              <w:ind w:right="118"/>
              <w:rPr>
                <w:b/>
                <w:bCs/>
                <w:color w:val="000000" w:themeColor="text1"/>
                <w:sz w:val="24"/>
                <w:szCs w:val="24"/>
              </w:rPr>
            </w:pPr>
            <w:r w:rsidRPr="00AF15A4">
              <w:rPr>
                <w:b/>
                <w:bCs/>
                <w:color w:val="000000" w:themeColor="text1"/>
                <w:sz w:val="24"/>
                <w:szCs w:val="24"/>
              </w:rPr>
              <w:t>4</w:t>
            </w:r>
          </w:p>
        </w:tc>
        <w:tc>
          <w:tcPr>
            <w:tcW w:w="9072" w:type="dxa"/>
          </w:tcPr>
          <w:p w14:paraId="01C0158B" w14:textId="5B489322" w:rsidR="000D2837" w:rsidRPr="00AF15A4" w:rsidRDefault="00377996"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Analyse</w:t>
            </w:r>
            <w:r w:rsidR="0073592B" w:rsidRPr="00AF15A4">
              <w:rPr>
                <w:rStyle w:val="normaltextrun"/>
                <w:rFonts w:ascii="Calibri" w:hAnsi="Calibri" w:cs="Calibri"/>
                <w:color w:val="000000" w:themeColor="text1"/>
                <w:sz w:val="21"/>
                <w:szCs w:val="21"/>
              </w:rPr>
              <w:t>, present</w:t>
            </w:r>
            <w:r w:rsidRPr="00AF15A4">
              <w:rPr>
                <w:rStyle w:val="normaltextrun"/>
                <w:rFonts w:ascii="Calibri" w:hAnsi="Calibri" w:cs="Calibri"/>
                <w:color w:val="000000" w:themeColor="text1"/>
                <w:sz w:val="21"/>
                <w:szCs w:val="21"/>
              </w:rPr>
              <w:t xml:space="preserve"> and report data to drive improvement</w:t>
            </w:r>
            <w:r w:rsidR="005E11E0" w:rsidRPr="00AF15A4">
              <w:rPr>
                <w:rStyle w:val="normaltextrun"/>
                <w:rFonts w:ascii="Calibri" w:hAnsi="Calibri" w:cs="Calibri"/>
                <w:color w:val="000000" w:themeColor="text1"/>
                <w:sz w:val="21"/>
                <w:szCs w:val="21"/>
              </w:rPr>
              <w:t xml:space="preserve"> </w:t>
            </w:r>
            <w:r w:rsidRPr="00AF15A4">
              <w:rPr>
                <w:rStyle w:val="normaltextrun"/>
                <w:rFonts w:ascii="Calibri" w:hAnsi="Calibri" w:cs="Calibri"/>
                <w:color w:val="000000" w:themeColor="text1"/>
                <w:sz w:val="21"/>
                <w:szCs w:val="21"/>
              </w:rPr>
              <w:t xml:space="preserve">through monthly KPIs and highlight reports. </w:t>
            </w:r>
            <w:r w:rsidR="001067C5" w:rsidRPr="00AF15A4">
              <w:rPr>
                <w:rStyle w:val="normaltextrun"/>
                <w:rFonts w:ascii="Calibri" w:hAnsi="Calibri" w:cs="Calibri"/>
                <w:color w:val="000000" w:themeColor="text1"/>
                <w:sz w:val="21"/>
                <w:szCs w:val="21"/>
              </w:rPr>
              <w:t>C</w:t>
            </w:r>
            <w:r w:rsidRPr="00AF15A4">
              <w:rPr>
                <w:rStyle w:val="normaltextrun"/>
                <w:rFonts w:ascii="Calibri" w:hAnsi="Calibri" w:cs="Calibri"/>
                <w:color w:val="000000" w:themeColor="text1"/>
                <w:sz w:val="21"/>
                <w:szCs w:val="21"/>
              </w:rPr>
              <w:t>ontribute to the ongoing improvement of the SEND Local Area by working as part of the SEND Partnership in line with our SEND Strategy</w:t>
            </w:r>
            <w:r w:rsidR="00154570" w:rsidRPr="00AF15A4">
              <w:rPr>
                <w:rStyle w:val="normaltextrun"/>
                <w:rFonts w:ascii="Calibri" w:hAnsi="Calibri" w:cs="Calibri"/>
                <w:color w:val="000000" w:themeColor="text1"/>
                <w:sz w:val="21"/>
                <w:szCs w:val="21"/>
              </w:rPr>
              <w:t>.</w:t>
            </w:r>
          </w:p>
        </w:tc>
      </w:tr>
      <w:tr w:rsidR="00AF15A4" w:rsidRPr="00AF15A4" w14:paraId="1AFB009D" w14:textId="77777777" w:rsidTr="123BA5C6">
        <w:tc>
          <w:tcPr>
            <w:tcW w:w="456" w:type="dxa"/>
          </w:tcPr>
          <w:p w14:paraId="488283BD" w14:textId="79A6057E" w:rsidR="000D2837" w:rsidRPr="00AF15A4" w:rsidRDefault="000D2837" w:rsidP="00C577BE">
            <w:pPr>
              <w:spacing w:after="0" w:line="240" w:lineRule="auto"/>
              <w:ind w:right="118"/>
              <w:rPr>
                <w:b/>
                <w:bCs/>
                <w:color w:val="000000" w:themeColor="text1"/>
                <w:sz w:val="24"/>
                <w:szCs w:val="24"/>
              </w:rPr>
            </w:pPr>
            <w:r w:rsidRPr="00AF15A4">
              <w:rPr>
                <w:b/>
                <w:bCs/>
                <w:color w:val="000000" w:themeColor="text1"/>
                <w:sz w:val="24"/>
                <w:szCs w:val="24"/>
              </w:rPr>
              <w:t>5</w:t>
            </w:r>
          </w:p>
        </w:tc>
        <w:tc>
          <w:tcPr>
            <w:tcW w:w="9072" w:type="dxa"/>
          </w:tcPr>
          <w:p w14:paraId="5204BE07" w14:textId="68B9636F" w:rsidR="000D2837" w:rsidRPr="00AF15A4" w:rsidRDefault="003A2412"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 xml:space="preserve">Hold schools and settings to account </w:t>
            </w:r>
            <w:r w:rsidR="00592D7C" w:rsidRPr="00AF15A4">
              <w:rPr>
                <w:rStyle w:val="normaltextrun"/>
                <w:rFonts w:ascii="Calibri" w:hAnsi="Calibri" w:cs="Calibri"/>
                <w:color w:val="000000" w:themeColor="text1"/>
                <w:sz w:val="21"/>
                <w:szCs w:val="21"/>
              </w:rPr>
              <w:t xml:space="preserve">- </w:t>
            </w:r>
            <w:r w:rsidRPr="00AF15A4">
              <w:rPr>
                <w:rStyle w:val="normaltextrun"/>
                <w:rFonts w:ascii="Calibri" w:hAnsi="Calibri" w:cs="Calibri"/>
                <w:color w:val="000000" w:themeColor="text1"/>
                <w:sz w:val="21"/>
                <w:szCs w:val="21"/>
              </w:rPr>
              <w:t>making sure they are fulfilling their duties making informed decisions as to where the Local Authority should agree to Section 19 education or direct back to the school</w:t>
            </w:r>
            <w:r w:rsidR="00154570" w:rsidRPr="00AF15A4">
              <w:rPr>
                <w:rStyle w:val="normaltextrun"/>
                <w:rFonts w:ascii="Calibri" w:hAnsi="Calibri" w:cs="Calibri"/>
                <w:color w:val="000000" w:themeColor="text1"/>
                <w:sz w:val="21"/>
                <w:szCs w:val="21"/>
              </w:rPr>
              <w:t>.</w:t>
            </w:r>
            <w:r w:rsidR="00592D7C" w:rsidRPr="00AF15A4">
              <w:rPr>
                <w:rStyle w:val="normaltextrun"/>
                <w:rFonts w:ascii="Calibri" w:hAnsi="Calibri" w:cs="Calibri"/>
                <w:color w:val="000000" w:themeColor="text1"/>
                <w:sz w:val="21"/>
                <w:szCs w:val="21"/>
              </w:rPr>
              <w:t xml:space="preserve"> Support and challenge schools and settings where needed.</w:t>
            </w:r>
          </w:p>
        </w:tc>
      </w:tr>
      <w:tr w:rsidR="00AF15A4" w:rsidRPr="00AF15A4" w14:paraId="4D030043" w14:textId="77777777" w:rsidTr="123BA5C6">
        <w:tc>
          <w:tcPr>
            <w:tcW w:w="456" w:type="dxa"/>
          </w:tcPr>
          <w:p w14:paraId="2A535A5B" w14:textId="712DB6A5" w:rsidR="000D2837" w:rsidRPr="00AF15A4" w:rsidRDefault="000D2837" w:rsidP="00C577BE">
            <w:pPr>
              <w:spacing w:after="0" w:line="240" w:lineRule="auto"/>
              <w:ind w:right="118"/>
              <w:rPr>
                <w:b/>
                <w:bCs/>
                <w:color w:val="000000" w:themeColor="text1"/>
                <w:sz w:val="24"/>
                <w:szCs w:val="24"/>
              </w:rPr>
            </w:pPr>
            <w:r w:rsidRPr="00AF15A4">
              <w:rPr>
                <w:b/>
                <w:bCs/>
                <w:color w:val="000000" w:themeColor="text1"/>
                <w:sz w:val="24"/>
                <w:szCs w:val="24"/>
              </w:rPr>
              <w:t>6</w:t>
            </w:r>
          </w:p>
        </w:tc>
        <w:tc>
          <w:tcPr>
            <w:tcW w:w="9072" w:type="dxa"/>
          </w:tcPr>
          <w:p w14:paraId="5ABE2E4C" w14:textId="2FDE2F76" w:rsidR="000D2837" w:rsidRPr="00AF15A4" w:rsidRDefault="00807822"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 xml:space="preserve">Be able to offer informed </w:t>
            </w:r>
            <w:r w:rsidR="00C73B3F" w:rsidRPr="00AF15A4">
              <w:rPr>
                <w:rStyle w:val="normaltextrun"/>
                <w:rFonts w:ascii="Calibri" w:hAnsi="Calibri" w:cs="Calibri"/>
                <w:color w:val="000000" w:themeColor="text1"/>
                <w:sz w:val="21"/>
                <w:szCs w:val="21"/>
              </w:rPr>
              <w:t xml:space="preserve">and considered </w:t>
            </w:r>
            <w:r w:rsidRPr="00AF15A4">
              <w:rPr>
                <w:rStyle w:val="normaltextrun"/>
                <w:rFonts w:ascii="Calibri" w:hAnsi="Calibri" w:cs="Calibri"/>
                <w:color w:val="000000" w:themeColor="text1"/>
                <w:sz w:val="21"/>
                <w:szCs w:val="21"/>
              </w:rPr>
              <w:t>advice</w:t>
            </w:r>
            <w:r w:rsidR="00C73B3F" w:rsidRPr="00AF15A4">
              <w:rPr>
                <w:rStyle w:val="normaltextrun"/>
                <w:rFonts w:ascii="Calibri" w:hAnsi="Calibri" w:cs="Calibri"/>
                <w:color w:val="000000" w:themeColor="text1"/>
                <w:sz w:val="21"/>
                <w:szCs w:val="21"/>
              </w:rPr>
              <w:t>. This can</w:t>
            </w:r>
            <w:r w:rsidR="00507521" w:rsidRPr="00AF15A4">
              <w:rPr>
                <w:rStyle w:val="normaltextrun"/>
                <w:rFonts w:ascii="Calibri" w:hAnsi="Calibri" w:cs="Calibri"/>
                <w:color w:val="000000" w:themeColor="text1"/>
                <w:sz w:val="21"/>
                <w:szCs w:val="21"/>
              </w:rPr>
              <w:t xml:space="preserve"> include</w:t>
            </w:r>
            <w:r w:rsidR="00592D7C" w:rsidRPr="00AF15A4">
              <w:rPr>
                <w:rStyle w:val="normaltextrun"/>
                <w:rFonts w:ascii="Calibri" w:hAnsi="Calibri" w:cs="Calibri"/>
                <w:color w:val="000000" w:themeColor="text1"/>
                <w:sz w:val="21"/>
                <w:szCs w:val="21"/>
              </w:rPr>
              <w:t xml:space="preserve">, </w:t>
            </w:r>
            <w:r w:rsidR="00507521" w:rsidRPr="00AF15A4">
              <w:rPr>
                <w:rStyle w:val="normaltextrun"/>
                <w:rFonts w:ascii="Calibri" w:hAnsi="Calibri" w:cs="Calibri"/>
                <w:color w:val="000000" w:themeColor="text1"/>
                <w:sz w:val="21"/>
                <w:szCs w:val="21"/>
              </w:rPr>
              <w:t xml:space="preserve">but </w:t>
            </w:r>
            <w:r w:rsidR="00592D7C" w:rsidRPr="00AF15A4">
              <w:rPr>
                <w:rStyle w:val="normaltextrun"/>
                <w:rFonts w:ascii="Calibri" w:hAnsi="Calibri" w:cs="Calibri"/>
                <w:color w:val="000000" w:themeColor="text1"/>
                <w:sz w:val="21"/>
                <w:szCs w:val="21"/>
              </w:rPr>
              <w:t xml:space="preserve">is </w:t>
            </w:r>
            <w:r w:rsidR="00507521" w:rsidRPr="00AF15A4">
              <w:rPr>
                <w:rStyle w:val="normaltextrun"/>
                <w:rFonts w:ascii="Calibri" w:hAnsi="Calibri" w:cs="Calibri"/>
                <w:color w:val="000000" w:themeColor="text1"/>
                <w:sz w:val="21"/>
                <w:szCs w:val="21"/>
              </w:rPr>
              <w:t>not limited to</w:t>
            </w:r>
            <w:r w:rsidR="00592D7C" w:rsidRPr="00AF15A4">
              <w:rPr>
                <w:rStyle w:val="normaltextrun"/>
                <w:rFonts w:ascii="Calibri" w:hAnsi="Calibri" w:cs="Calibri"/>
                <w:color w:val="000000" w:themeColor="text1"/>
                <w:sz w:val="21"/>
                <w:szCs w:val="21"/>
              </w:rPr>
              <w:t>,</w:t>
            </w:r>
            <w:r w:rsidR="00507521" w:rsidRPr="00AF15A4">
              <w:rPr>
                <w:rStyle w:val="normaltextrun"/>
                <w:rFonts w:ascii="Calibri" w:hAnsi="Calibri" w:cs="Calibri"/>
                <w:color w:val="000000" w:themeColor="text1"/>
                <w:sz w:val="21"/>
                <w:szCs w:val="21"/>
              </w:rPr>
              <w:t xml:space="preserve"> attending and managing</w:t>
            </w:r>
            <w:r w:rsidRPr="00AF15A4">
              <w:rPr>
                <w:rStyle w:val="normaltextrun"/>
                <w:rFonts w:ascii="Calibri" w:hAnsi="Calibri" w:cs="Calibri"/>
                <w:color w:val="000000" w:themeColor="text1"/>
                <w:sz w:val="21"/>
                <w:szCs w:val="21"/>
              </w:rPr>
              <w:t xml:space="preserve"> mediation,</w:t>
            </w:r>
            <w:r w:rsidR="00507521" w:rsidRPr="00AF15A4">
              <w:rPr>
                <w:rStyle w:val="normaltextrun"/>
                <w:rFonts w:ascii="Calibri" w:hAnsi="Calibri" w:cs="Calibri"/>
                <w:color w:val="000000" w:themeColor="text1"/>
                <w:sz w:val="21"/>
                <w:szCs w:val="21"/>
              </w:rPr>
              <w:t xml:space="preserve"> attending</w:t>
            </w:r>
            <w:r w:rsidRPr="00AF15A4">
              <w:rPr>
                <w:rStyle w:val="normaltextrun"/>
                <w:rFonts w:ascii="Calibri" w:hAnsi="Calibri" w:cs="Calibri"/>
                <w:color w:val="000000" w:themeColor="text1"/>
                <w:sz w:val="21"/>
                <w:szCs w:val="21"/>
              </w:rPr>
              <w:t xml:space="preserve"> tribunals (in support of the tribunal lead)</w:t>
            </w:r>
            <w:r w:rsidR="00592D7C" w:rsidRPr="00AF15A4">
              <w:rPr>
                <w:rStyle w:val="normaltextrun"/>
                <w:rFonts w:ascii="Calibri" w:hAnsi="Calibri" w:cs="Calibri"/>
                <w:color w:val="000000" w:themeColor="text1"/>
                <w:sz w:val="21"/>
                <w:szCs w:val="21"/>
              </w:rPr>
              <w:t>,</w:t>
            </w:r>
            <w:r w:rsidRPr="00AF15A4">
              <w:rPr>
                <w:rStyle w:val="normaltextrun"/>
                <w:rFonts w:ascii="Calibri" w:hAnsi="Calibri" w:cs="Calibri"/>
                <w:color w:val="000000" w:themeColor="text1"/>
                <w:sz w:val="21"/>
                <w:szCs w:val="21"/>
              </w:rPr>
              <w:t xml:space="preserve"> and </w:t>
            </w:r>
            <w:r w:rsidR="00507521" w:rsidRPr="00AF15A4">
              <w:rPr>
                <w:rStyle w:val="normaltextrun"/>
                <w:rFonts w:ascii="Calibri" w:hAnsi="Calibri" w:cs="Calibri"/>
                <w:color w:val="000000" w:themeColor="text1"/>
                <w:sz w:val="21"/>
                <w:szCs w:val="21"/>
              </w:rPr>
              <w:t xml:space="preserve">dealing with </w:t>
            </w:r>
            <w:r w:rsidRPr="00AF15A4">
              <w:rPr>
                <w:rStyle w:val="normaltextrun"/>
                <w:rFonts w:ascii="Calibri" w:hAnsi="Calibri" w:cs="Calibri"/>
                <w:color w:val="000000" w:themeColor="text1"/>
                <w:sz w:val="21"/>
                <w:szCs w:val="21"/>
              </w:rPr>
              <w:t>complaints within this area.</w:t>
            </w:r>
            <w:r w:rsidRPr="00AF15A4">
              <w:rPr>
                <w:rStyle w:val="normaltextrun"/>
                <w:color w:val="000000" w:themeColor="text1"/>
              </w:rPr>
              <w:t> </w:t>
            </w:r>
            <w:r w:rsidR="00507521" w:rsidRPr="00AF15A4">
              <w:rPr>
                <w:rStyle w:val="normaltextrun"/>
                <w:color w:val="000000" w:themeColor="text1"/>
              </w:rPr>
              <w:t xml:space="preserve"> </w:t>
            </w:r>
          </w:p>
        </w:tc>
      </w:tr>
      <w:tr w:rsidR="00AF15A4" w:rsidRPr="00AF15A4" w14:paraId="555B18D5" w14:textId="77777777" w:rsidTr="123BA5C6">
        <w:tc>
          <w:tcPr>
            <w:tcW w:w="456" w:type="dxa"/>
          </w:tcPr>
          <w:p w14:paraId="248E166F" w14:textId="60F43A8A" w:rsidR="004B7D82" w:rsidRPr="00AF15A4" w:rsidRDefault="004B7D82" w:rsidP="00C577BE">
            <w:pPr>
              <w:spacing w:after="0" w:line="240" w:lineRule="auto"/>
              <w:ind w:right="118"/>
              <w:rPr>
                <w:b/>
                <w:bCs/>
                <w:color w:val="000000" w:themeColor="text1"/>
                <w:sz w:val="24"/>
                <w:szCs w:val="24"/>
              </w:rPr>
            </w:pPr>
            <w:r w:rsidRPr="00AF15A4">
              <w:rPr>
                <w:b/>
                <w:bCs/>
                <w:color w:val="000000" w:themeColor="text1"/>
                <w:sz w:val="24"/>
                <w:szCs w:val="24"/>
              </w:rPr>
              <w:t>7</w:t>
            </w:r>
          </w:p>
        </w:tc>
        <w:tc>
          <w:tcPr>
            <w:tcW w:w="9072" w:type="dxa"/>
          </w:tcPr>
          <w:p w14:paraId="79FF61E2" w14:textId="1EEBB07A" w:rsidR="004B7D82" w:rsidRPr="00AF15A4" w:rsidRDefault="004B7D82" w:rsidP="123BA5C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Understand</w:t>
            </w:r>
            <w:r w:rsidR="00AF15A4" w:rsidRPr="00AF15A4">
              <w:rPr>
                <w:rStyle w:val="normaltextrun"/>
                <w:rFonts w:ascii="Calibri" w:hAnsi="Calibri" w:cs="Calibri"/>
                <w:color w:val="000000" w:themeColor="text1"/>
                <w:sz w:val="21"/>
                <w:szCs w:val="21"/>
              </w:rPr>
              <w:t xml:space="preserve"> </w:t>
            </w:r>
            <w:r w:rsidR="006E5EDD" w:rsidRPr="00AF15A4">
              <w:rPr>
                <w:rStyle w:val="normaltextrun"/>
                <w:rFonts w:ascii="Calibri" w:hAnsi="Calibri" w:cs="Calibri"/>
                <w:color w:val="000000" w:themeColor="text1"/>
                <w:sz w:val="21"/>
                <w:szCs w:val="21"/>
              </w:rPr>
              <w:t xml:space="preserve">challenges as to why </w:t>
            </w:r>
            <w:r w:rsidRPr="00AF15A4">
              <w:rPr>
                <w:rStyle w:val="normaltextrun"/>
                <w:rFonts w:ascii="Calibri" w:hAnsi="Calibri" w:cs="Calibri"/>
                <w:color w:val="000000" w:themeColor="text1"/>
                <w:sz w:val="21"/>
                <w:szCs w:val="21"/>
              </w:rPr>
              <w:t>children</w:t>
            </w:r>
            <w:r w:rsidR="006052D8" w:rsidRPr="00AF15A4">
              <w:rPr>
                <w:rStyle w:val="normaltextrun"/>
                <w:rFonts w:ascii="Calibri" w:hAnsi="Calibri" w:cs="Calibri"/>
                <w:color w:val="000000" w:themeColor="text1"/>
                <w:sz w:val="21"/>
                <w:szCs w:val="21"/>
              </w:rPr>
              <w:t xml:space="preserve"> and young people</w:t>
            </w:r>
            <w:r w:rsidRPr="00AF15A4">
              <w:rPr>
                <w:rStyle w:val="normaltextrun"/>
                <w:rFonts w:ascii="Calibri" w:hAnsi="Calibri" w:cs="Calibri"/>
                <w:color w:val="000000" w:themeColor="text1"/>
                <w:sz w:val="21"/>
                <w:szCs w:val="21"/>
              </w:rPr>
              <w:t xml:space="preserve"> are missing from education</w:t>
            </w:r>
            <w:r w:rsidR="00F864AF" w:rsidRPr="00AF15A4">
              <w:rPr>
                <w:rStyle w:val="normaltextrun"/>
                <w:rFonts w:ascii="Calibri" w:hAnsi="Calibri" w:cs="Calibri"/>
                <w:color w:val="000000" w:themeColor="text1"/>
                <w:sz w:val="21"/>
                <w:szCs w:val="21"/>
              </w:rPr>
              <w:t>, being absent from school and refusing to attend</w:t>
            </w:r>
            <w:r w:rsidR="006052D8" w:rsidRPr="00AF15A4">
              <w:rPr>
                <w:rStyle w:val="normaltextrun"/>
                <w:rFonts w:ascii="Calibri" w:hAnsi="Calibri" w:cs="Calibri"/>
                <w:color w:val="000000" w:themeColor="text1"/>
                <w:sz w:val="21"/>
                <w:szCs w:val="21"/>
              </w:rPr>
              <w:t>.</w:t>
            </w:r>
            <w:r w:rsidR="006E5EDD" w:rsidRPr="00AF15A4">
              <w:rPr>
                <w:rStyle w:val="normaltextrun"/>
                <w:rFonts w:ascii="Calibri" w:hAnsi="Calibri" w:cs="Calibri"/>
                <w:color w:val="000000" w:themeColor="text1"/>
                <w:sz w:val="21"/>
                <w:szCs w:val="21"/>
              </w:rPr>
              <w:t xml:space="preserve"> </w:t>
            </w:r>
            <w:r w:rsidR="006052D8" w:rsidRPr="00AF15A4">
              <w:rPr>
                <w:rStyle w:val="normaltextrun"/>
                <w:rFonts w:ascii="Calibri" w:hAnsi="Calibri" w:cs="Calibri"/>
                <w:color w:val="000000" w:themeColor="text1"/>
                <w:sz w:val="21"/>
                <w:szCs w:val="21"/>
              </w:rPr>
              <w:t>L</w:t>
            </w:r>
            <w:r w:rsidR="006E5EDD" w:rsidRPr="00AF15A4">
              <w:rPr>
                <w:rStyle w:val="normaltextrun"/>
                <w:rFonts w:ascii="Calibri" w:hAnsi="Calibri" w:cs="Calibri"/>
                <w:color w:val="000000" w:themeColor="text1"/>
                <w:sz w:val="21"/>
                <w:szCs w:val="21"/>
              </w:rPr>
              <w:t>iais</w:t>
            </w:r>
            <w:r w:rsidR="002F4B84" w:rsidRPr="00AF15A4">
              <w:rPr>
                <w:rStyle w:val="normaltextrun"/>
                <w:rFonts w:ascii="Calibri" w:hAnsi="Calibri" w:cs="Calibri"/>
                <w:color w:val="000000" w:themeColor="text1"/>
                <w:sz w:val="21"/>
                <w:szCs w:val="21"/>
              </w:rPr>
              <w:t>e</w:t>
            </w:r>
            <w:r w:rsidR="006E5EDD" w:rsidRPr="00AF15A4">
              <w:rPr>
                <w:rStyle w:val="normaltextrun"/>
                <w:rFonts w:ascii="Calibri" w:hAnsi="Calibri" w:cs="Calibri"/>
                <w:color w:val="000000" w:themeColor="text1"/>
                <w:sz w:val="21"/>
                <w:szCs w:val="21"/>
              </w:rPr>
              <w:t xml:space="preserve"> </w:t>
            </w:r>
            <w:r w:rsidR="00F864AF" w:rsidRPr="00AF15A4">
              <w:rPr>
                <w:rStyle w:val="normaltextrun"/>
                <w:rFonts w:ascii="Calibri" w:hAnsi="Calibri" w:cs="Calibri"/>
                <w:color w:val="000000" w:themeColor="text1"/>
                <w:sz w:val="21"/>
                <w:szCs w:val="21"/>
              </w:rPr>
              <w:t>with families</w:t>
            </w:r>
            <w:r w:rsidR="002F4B84" w:rsidRPr="00AF15A4">
              <w:rPr>
                <w:rStyle w:val="normaltextrun"/>
                <w:rFonts w:ascii="Calibri" w:hAnsi="Calibri" w:cs="Calibri"/>
                <w:color w:val="000000" w:themeColor="text1"/>
                <w:sz w:val="21"/>
                <w:szCs w:val="21"/>
              </w:rPr>
              <w:t xml:space="preserve"> and educational teams such as </w:t>
            </w:r>
            <w:r w:rsidR="00FF1590" w:rsidRPr="00AF15A4">
              <w:rPr>
                <w:rStyle w:val="normaltextrun"/>
                <w:rFonts w:ascii="Calibri" w:hAnsi="Calibri" w:cs="Calibri"/>
                <w:color w:val="000000" w:themeColor="text1"/>
                <w:sz w:val="21"/>
                <w:szCs w:val="21"/>
              </w:rPr>
              <w:t>a</w:t>
            </w:r>
            <w:r w:rsidR="002F4B84" w:rsidRPr="00AF15A4">
              <w:rPr>
                <w:rStyle w:val="normaltextrun"/>
                <w:rFonts w:ascii="Calibri" w:hAnsi="Calibri" w:cs="Calibri"/>
                <w:color w:val="000000" w:themeColor="text1"/>
                <w:sz w:val="21"/>
                <w:szCs w:val="21"/>
              </w:rPr>
              <w:t>ttendance colleagues and Children’s Social Care</w:t>
            </w:r>
            <w:r w:rsidR="00571D69" w:rsidRPr="00AF15A4">
              <w:rPr>
                <w:rStyle w:val="normaltextrun"/>
                <w:rFonts w:ascii="Calibri" w:hAnsi="Calibri" w:cs="Calibri"/>
                <w:color w:val="000000" w:themeColor="text1"/>
                <w:sz w:val="21"/>
                <w:szCs w:val="21"/>
              </w:rPr>
              <w:t xml:space="preserve"> </w:t>
            </w:r>
            <w:r w:rsidR="00CE09CA" w:rsidRPr="00AF15A4">
              <w:rPr>
                <w:rStyle w:val="normaltextrun"/>
                <w:rFonts w:ascii="Calibri" w:hAnsi="Calibri" w:cs="Calibri"/>
                <w:color w:val="000000" w:themeColor="text1"/>
                <w:sz w:val="21"/>
                <w:szCs w:val="21"/>
              </w:rPr>
              <w:t>to</w:t>
            </w:r>
            <w:r w:rsidR="00D552A4" w:rsidRPr="00AF15A4">
              <w:rPr>
                <w:rStyle w:val="normaltextrun"/>
                <w:rFonts w:ascii="Calibri" w:hAnsi="Calibri" w:cs="Calibri"/>
                <w:color w:val="000000" w:themeColor="text1"/>
                <w:sz w:val="21"/>
                <w:szCs w:val="21"/>
              </w:rPr>
              <w:t xml:space="preserve"> resolve this and ensur</w:t>
            </w:r>
            <w:r w:rsidR="002F4B84" w:rsidRPr="00AF15A4">
              <w:rPr>
                <w:rStyle w:val="normaltextrun"/>
                <w:rFonts w:ascii="Calibri" w:hAnsi="Calibri" w:cs="Calibri"/>
                <w:color w:val="000000" w:themeColor="text1"/>
                <w:sz w:val="21"/>
                <w:szCs w:val="21"/>
              </w:rPr>
              <w:t>e</w:t>
            </w:r>
            <w:r w:rsidR="00D552A4" w:rsidRPr="00AF15A4">
              <w:rPr>
                <w:rStyle w:val="normaltextrun"/>
                <w:rFonts w:ascii="Calibri" w:hAnsi="Calibri" w:cs="Calibri"/>
                <w:color w:val="000000" w:themeColor="text1"/>
                <w:sz w:val="21"/>
                <w:szCs w:val="21"/>
              </w:rPr>
              <w:t xml:space="preserve"> attendance.</w:t>
            </w:r>
          </w:p>
        </w:tc>
      </w:tr>
      <w:tr w:rsidR="00AF15A4" w:rsidRPr="00AF15A4" w14:paraId="5FD4BFCD" w14:textId="77777777" w:rsidTr="123BA5C6">
        <w:trPr>
          <w:trHeight w:val="300"/>
        </w:trPr>
        <w:tc>
          <w:tcPr>
            <w:tcW w:w="456" w:type="dxa"/>
          </w:tcPr>
          <w:p w14:paraId="70498F63" w14:textId="4D509F82" w:rsidR="58FB40F6" w:rsidRPr="00AF15A4" w:rsidRDefault="004B7D82" w:rsidP="123BA5C6">
            <w:pPr>
              <w:spacing w:line="240" w:lineRule="auto"/>
              <w:rPr>
                <w:b/>
                <w:bCs/>
                <w:color w:val="000000" w:themeColor="text1"/>
                <w:sz w:val="24"/>
                <w:szCs w:val="24"/>
              </w:rPr>
            </w:pPr>
            <w:r w:rsidRPr="00AF15A4">
              <w:rPr>
                <w:b/>
                <w:bCs/>
                <w:color w:val="000000" w:themeColor="text1"/>
                <w:sz w:val="24"/>
                <w:szCs w:val="24"/>
              </w:rPr>
              <w:t>8</w:t>
            </w:r>
          </w:p>
        </w:tc>
        <w:tc>
          <w:tcPr>
            <w:tcW w:w="9072" w:type="dxa"/>
          </w:tcPr>
          <w:p w14:paraId="5E034F49" w14:textId="74946B5B" w:rsidR="58FB40F6" w:rsidRPr="00AF15A4" w:rsidRDefault="58FB40F6" w:rsidP="123BA5C6">
            <w:pPr>
              <w:shd w:val="clear" w:color="auto" w:fill="FFFFFF" w:themeFill="background1"/>
              <w:spacing w:after="150"/>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 xml:space="preserve">Ensure that all safeguarding processes and procedures </w:t>
            </w:r>
            <w:r w:rsidR="0018711D" w:rsidRPr="00AF15A4">
              <w:rPr>
                <w:rStyle w:val="normaltextrun"/>
                <w:rFonts w:ascii="Calibri" w:hAnsi="Calibri" w:cs="Calibri"/>
                <w:color w:val="000000" w:themeColor="text1"/>
                <w:sz w:val="21"/>
                <w:szCs w:val="21"/>
              </w:rPr>
              <w:t>are followed</w:t>
            </w:r>
            <w:r w:rsidR="00154570" w:rsidRPr="00AF15A4">
              <w:rPr>
                <w:rStyle w:val="normaltextrun"/>
                <w:rFonts w:ascii="Calibri" w:hAnsi="Calibri" w:cs="Calibri"/>
                <w:color w:val="000000" w:themeColor="text1"/>
                <w:sz w:val="21"/>
                <w:szCs w:val="21"/>
              </w:rPr>
              <w:t>.</w:t>
            </w:r>
          </w:p>
        </w:tc>
      </w:tr>
      <w:tr w:rsidR="009877E8" w:rsidRPr="00AF15A4" w14:paraId="2E81482F" w14:textId="77777777" w:rsidTr="123BA5C6">
        <w:trPr>
          <w:trHeight w:val="300"/>
        </w:trPr>
        <w:tc>
          <w:tcPr>
            <w:tcW w:w="456" w:type="dxa"/>
          </w:tcPr>
          <w:p w14:paraId="0E741A28" w14:textId="30BAF9CF" w:rsidR="009877E8" w:rsidRPr="00AF15A4" w:rsidRDefault="009877E8" w:rsidP="123BA5C6">
            <w:pPr>
              <w:spacing w:line="240" w:lineRule="auto"/>
              <w:rPr>
                <w:b/>
                <w:bCs/>
                <w:color w:val="000000" w:themeColor="text1"/>
                <w:sz w:val="24"/>
                <w:szCs w:val="24"/>
              </w:rPr>
            </w:pPr>
            <w:r w:rsidRPr="00AF15A4">
              <w:rPr>
                <w:b/>
                <w:bCs/>
                <w:color w:val="000000" w:themeColor="text1"/>
                <w:sz w:val="24"/>
                <w:szCs w:val="24"/>
              </w:rPr>
              <w:lastRenderedPageBreak/>
              <w:t>9</w:t>
            </w:r>
          </w:p>
        </w:tc>
        <w:tc>
          <w:tcPr>
            <w:tcW w:w="9072" w:type="dxa"/>
          </w:tcPr>
          <w:p w14:paraId="171C29EE" w14:textId="547D5E30" w:rsidR="009877E8" w:rsidRPr="00AF15A4" w:rsidRDefault="009877E8" w:rsidP="123BA5C6">
            <w:pPr>
              <w:shd w:val="clear" w:color="auto" w:fill="FFFFFF" w:themeFill="background1"/>
              <w:spacing w:after="150"/>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hd w:val="clear" w:color="auto" w:fill="FFFFFF"/>
              </w:rPr>
              <w:t>Work</w:t>
            </w:r>
            <w:r w:rsidR="00AF15A4" w:rsidRPr="00AF15A4">
              <w:rPr>
                <w:rStyle w:val="normaltextrun"/>
                <w:rFonts w:ascii="Calibri" w:hAnsi="Calibri" w:cs="Calibri"/>
                <w:color w:val="000000" w:themeColor="text1"/>
                <w:shd w:val="clear" w:color="auto" w:fill="FFFFFF"/>
              </w:rPr>
              <w:t xml:space="preserve"> </w:t>
            </w:r>
            <w:r w:rsidRPr="00AF15A4">
              <w:rPr>
                <w:rStyle w:val="normaltextrun"/>
                <w:rFonts w:ascii="Calibri" w:hAnsi="Calibri" w:cs="Calibri"/>
                <w:color w:val="000000" w:themeColor="text1"/>
                <w:shd w:val="clear" w:color="auto" w:fill="FFFFFF"/>
              </w:rPr>
              <w:t>within regulated activity providing advice/guidance on physical, emotional or educational wellbeing.</w:t>
            </w:r>
            <w:r w:rsidRPr="00AF15A4">
              <w:rPr>
                <w:rStyle w:val="eop"/>
                <w:rFonts w:ascii="Calibri" w:hAnsi="Calibri" w:cs="Calibri"/>
                <w:color w:val="000000" w:themeColor="text1"/>
                <w:shd w:val="clear" w:color="auto" w:fill="FFFFFF"/>
              </w:rPr>
              <w:t> </w:t>
            </w:r>
            <w:r w:rsidR="00682EC8" w:rsidRPr="00AF15A4">
              <w:rPr>
                <w:rStyle w:val="eop"/>
                <w:rFonts w:ascii="Calibri" w:hAnsi="Calibri" w:cs="Calibri"/>
                <w:color w:val="000000" w:themeColor="text1"/>
                <w:shd w:val="clear" w:color="auto" w:fill="FFFFFF"/>
              </w:rPr>
              <w:t>(</w:t>
            </w:r>
            <w:r w:rsidR="00682EC8" w:rsidRPr="00AF15A4">
              <w:rPr>
                <w:rStyle w:val="eop"/>
                <w:color w:val="000000" w:themeColor="text1"/>
              </w:rPr>
              <w:t>Enhanced DBS plus barred list check is essential)</w:t>
            </w:r>
          </w:p>
        </w:tc>
      </w:tr>
      <w:bookmarkEnd w:id="0"/>
    </w:tbl>
    <w:p w14:paraId="3B91E156" w14:textId="77777777" w:rsidR="009A58DA" w:rsidRPr="00AF15A4" w:rsidRDefault="009A58DA" w:rsidP="009A58DA">
      <w:pPr>
        <w:spacing w:after="0" w:line="240" w:lineRule="auto"/>
        <w:ind w:left="567" w:right="118"/>
        <w:rPr>
          <w:i/>
          <w:iCs/>
          <w:color w:val="000000" w:themeColor="text1"/>
          <w:sz w:val="24"/>
          <w:szCs w:val="24"/>
        </w:rPr>
      </w:pPr>
    </w:p>
    <w:p w14:paraId="1C4D5D9F" w14:textId="3594EAA0" w:rsidR="000D2837" w:rsidRPr="00AF15A4" w:rsidRDefault="009A58DA" w:rsidP="009A58DA">
      <w:pPr>
        <w:spacing w:after="0" w:line="240" w:lineRule="auto"/>
        <w:ind w:left="567" w:right="118"/>
        <w:rPr>
          <w:i/>
          <w:iCs/>
          <w:color w:val="000000" w:themeColor="text1"/>
          <w:sz w:val="24"/>
          <w:szCs w:val="24"/>
        </w:rPr>
      </w:pPr>
      <w:r w:rsidRPr="00AF15A4">
        <w:rPr>
          <w:i/>
          <w:iCs/>
          <w:color w:val="000000" w:themeColor="text1"/>
          <w:sz w:val="24"/>
          <w:szCs w:val="24"/>
        </w:rPr>
        <w:t>Within reason these key deliverables may evolve to meet service need and it is expected that you will be flexible and adaptable in your delivery to meet both service and</w:t>
      </w:r>
      <w:r w:rsidR="00163709" w:rsidRPr="00AF15A4">
        <w:rPr>
          <w:i/>
          <w:iCs/>
          <w:color w:val="000000" w:themeColor="text1"/>
          <w:sz w:val="24"/>
          <w:szCs w:val="24"/>
        </w:rPr>
        <w:t xml:space="preserve"> city</w:t>
      </w:r>
      <w:r w:rsidRPr="00AF15A4">
        <w:rPr>
          <w:i/>
          <w:iCs/>
          <w:color w:val="000000" w:themeColor="text1"/>
          <w:sz w:val="24"/>
          <w:szCs w:val="24"/>
        </w:rPr>
        <w:t xml:space="preserve"> council wide needs</w:t>
      </w:r>
    </w:p>
    <w:p w14:paraId="1EB39711" w14:textId="77777777" w:rsidR="009A58DA" w:rsidRPr="00AF15A4" w:rsidRDefault="009A58DA" w:rsidP="00466206">
      <w:pPr>
        <w:spacing w:after="0" w:line="240" w:lineRule="auto"/>
        <w:ind w:right="118"/>
        <w:rPr>
          <w:color w:val="000000" w:themeColor="text1"/>
          <w:sz w:val="24"/>
          <w:szCs w:val="24"/>
        </w:rPr>
      </w:pPr>
    </w:p>
    <w:p w14:paraId="3B5963E7" w14:textId="77777777" w:rsidR="002945D6" w:rsidRPr="00AF15A4" w:rsidRDefault="002945D6" w:rsidP="00C577BE">
      <w:pPr>
        <w:spacing w:after="0" w:line="240" w:lineRule="auto"/>
        <w:ind w:left="567" w:right="118"/>
        <w:rPr>
          <w:color w:val="000000" w:themeColor="text1"/>
          <w:sz w:val="24"/>
          <w:szCs w:val="24"/>
        </w:rPr>
      </w:pPr>
    </w:p>
    <w:p w14:paraId="4782D070" w14:textId="68F2E0D7" w:rsidR="00B01282" w:rsidRPr="00AF15A4"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AF15A4">
        <w:rPr>
          <w:rFonts w:ascii="Amasis MT Pro Black" w:hAnsi="Amasis MT Pro Black" w:cstheme="minorHAnsi"/>
          <w:b/>
          <w:bCs/>
          <w:color w:val="000000" w:themeColor="text1"/>
          <w:sz w:val="32"/>
          <w:szCs w:val="32"/>
        </w:rPr>
        <w:t xml:space="preserve">Essential </w:t>
      </w:r>
      <w:r w:rsidR="00A93AC9" w:rsidRPr="00AF15A4">
        <w:rPr>
          <w:rFonts w:ascii="Amasis MT Pro Black" w:hAnsi="Amasis MT Pro Black" w:cstheme="minorHAnsi"/>
          <w:b/>
          <w:bCs/>
          <w:color w:val="000000" w:themeColor="text1"/>
          <w:sz w:val="32"/>
          <w:szCs w:val="32"/>
        </w:rPr>
        <w:t>r</w:t>
      </w:r>
      <w:r w:rsidRPr="00AF15A4">
        <w:rPr>
          <w:rFonts w:ascii="Amasis MT Pro Black" w:hAnsi="Amasis MT Pro Black" w:cstheme="minorHAnsi"/>
          <w:b/>
          <w:bCs/>
          <w:color w:val="000000" w:themeColor="text1"/>
          <w:sz w:val="32"/>
          <w:szCs w:val="32"/>
        </w:rPr>
        <w:t xml:space="preserve">equirements </w:t>
      </w:r>
      <w:r w:rsidR="00C577BE" w:rsidRPr="00AF15A4">
        <w:rPr>
          <w:rFonts w:cstheme="minorHAnsi"/>
          <w:color w:val="000000" w:themeColor="text1"/>
          <w:sz w:val="24"/>
          <w:szCs w:val="24"/>
        </w:rPr>
        <w:t>K</w:t>
      </w:r>
      <w:r w:rsidRPr="00AF15A4">
        <w:rPr>
          <w:rFonts w:cstheme="minorHAnsi"/>
          <w:color w:val="000000" w:themeColor="text1"/>
          <w:sz w:val="24"/>
          <w:szCs w:val="24"/>
        </w:rPr>
        <w:t>ey skills</w:t>
      </w:r>
      <w:r w:rsidR="00385034" w:rsidRPr="00AF15A4">
        <w:rPr>
          <w:rFonts w:cstheme="minorHAnsi"/>
          <w:color w:val="000000" w:themeColor="text1"/>
          <w:sz w:val="24"/>
          <w:szCs w:val="24"/>
        </w:rPr>
        <w:t>, expertise</w:t>
      </w:r>
      <w:r w:rsidR="00C577BE" w:rsidRPr="00AF15A4">
        <w:rPr>
          <w:rFonts w:cstheme="minorHAnsi"/>
          <w:color w:val="000000" w:themeColor="text1"/>
          <w:sz w:val="24"/>
          <w:szCs w:val="24"/>
        </w:rPr>
        <w:t>,</w:t>
      </w:r>
      <w:r w:rsidRPr="00AF15A4">
        <w:rPr>
          <w:rFonts w:cstheme="minorHAnsi"/>
          <w:color w:val="000000" w:themeColor="text1"/>
          <w:sz w:val="24"/>
          <w:szCs w:val="24"/>
        </w:rPr>
        <w:t xml:space="preserve"> </w:t>
      </w:r>
      <w:r w:rsidR="00385034" w:rsidRPr="00AF15A4">
        <w:rPr>
          <w:rFonts w:cstheme="minorHAnsi"/>
          <w:color w:val="000000" w:themeColor="text1"/>
          <w:sz w:val="24"/>
          <w:szCs w:val="24"/>
        </w:rPr>
        <w:t>and</w:t>
      </w:r>
      <w:r w:rsidRPr="00AF15A4">
        <w:rPr>
          <w:rFonts w:cstheme="minorHAnsi"/>
          <w:color w:val="000000" w:themeColor="text1"/>
          <w:sz w:val="24"/>
          <w:szCs w:val="24"/>
        </w:rPr>
        <w:t xml:space="preserve"> qualifications</w:t>
      </w:r>
    </w:p>
    <w:p w14:paraId="53BDD0E4" w14:textId="77777777" w:rsidR="009657AB" w:rsidRPr="00AF15A4" w:rsidRDefault="009657AB" w:rsidP="00C577BE">
      <w:pPr>
        <w:spacing w:after="0" w:line="240" w:lineRule="auto"/>
        <w:ind w:left="567" w:right="118"/>
        <w:rPr>
          <w:noProof/>
          <w:color w:val="000000" w:themeColor="text1"/>
          <w:sz w:val="24"/>
          <w:szCs w:val="24"/>
        </w:rPr>
      </w:pPr>
    </w:p>
    <w:tbl>
      <w:tblPr>
        <w:tblStyle w:val="TableGrid"/>
        <w:tblW w:w="9528" w:type="dxa"/>
        <w:tblInd w:w="567" w:type="dxa"/>
        <w:tblLook w:val="04A0" w:firstRow="1" w:lastRow="0" w:firstColumn="1" w:lastColumn="0" w:noHBand="0" w:noVBand="1"/>
      </w:tblPr>
      <w:tblGrid>
        <w:gridCol w:w="617"/>
        <w:gridCol w:w="8911"/>
      </w:tblGrid>
      <w:tr w:rsidR="00AF15A4" w:rsidRPr="00AF15A4" w14:paraId="7DF1D041" w14:textId="77777777" w:rsidTr="50597BA3">
        <w:tc>
          <w:tcPr>
            <w:tcW w:w="617" w:type="dxa"/>
          </w:tcPr>
          <w:p w14:paraId="1383F5FB" w14:textId="77777777" w:rsidR="00C577BE" w:rsidRPr="00AF15A4" w:rsidRDefault="00C577BE" w:rsidP="00C577BE">
            <w:pPr>
              <w:spacing w:after="0" w:line="240" w:lineRule="auto"/>
              <w:ind w:right="118"/>
              <w:rPr>
                <w:b/>
                <w:bCs/>
                <w:color w:val="000000" w:themeColor="text1"/>
                <w:sz w:val="24"/>
                <w:szCs w:val="24"/>
              </w:rPr>
            </w:pPr>
            <w:r w:rsidRPr="00AF15A4">
              <w:rPr>
                <w:b/>
                <w:bCs/>
                <w:color w:val="000000" w:themeColor="text1"/>
                <w:sz w:val="24"/>
                <w:szCs w:val="24"/>
              </w:rPr>
              <w:t>1</w:t>
            </w:r>
          </w:p>
        </w:tc>
        <w:tc>
          <w:tcPr>
            <w:tcW w:w="8911" w:type="dxa"/>
          </w:tcPr>
          <w:p w14:paraId="488052B5" w14:textId="1B34F30D" w:rsidR="00C577BE" w:rsidRPr="00AF15A4" w:rsidRDefault="7D4C5FFC" w:rsidP="00466206">
            <w:pPr>
              <w:shd w:val="clear" w:color="auto" w:fill="FFFFFF" w:themeFill="background1"/>
              <w:spacing w:after="150" w:line="240" w:lineRule="auto"/>
              <w:rPr>
                <w:rStyle w:val="normaltextrun"/>
                <w:rFonts w:ascii="Calibri" w:hAnsi="Calibri" w:cs="Calibri"/>
                <w:color w:val="000000" w:themeColor="text1"/>
                <w:sz w:val="21"/>
                <w:szCs w:val="21"/>
              </w:rPr>
            </w:pPr>
            <w:r w:rsidRPr="00AF15A4">
              <w:rPr>
                <w:rStyle w:val="normaltextrun"/>
                <w:rFonts w:ascii="Calibri" w:hAnsi="Calibri" w:cs="Calibri"/>
                <w:color w:val="000000" w:themeColor="text1"/>
                <w:sz w:val="21"/>
                <w:szCs w:val="21"/>
              </w:rPr>
              <w:t>At least 3 years’ experience of working in an educational environment local government or other relevant field with an understanding of current Special Educational Needs principles and procedures and current legislation related to SEN and Disability Discrimination Act. Relevant degree or equivalent level qualification</w:t>
            </w:r>
            <w:r w:rsidR="3BE4A73B" w:rsidRPr="00AF15A4">
              <w:rPr>
                <w:rStyle w:val="normaltextrun"/>
                <w:rFonts w:ascii="Calibri" w:hAnsi="Calibri" w:cs="Calibri"/>
                <w:color w:val="000000" w:themeColor="text1"/>
                <w:sz w:val="21"/>
                <w:szCs w:val="21"/>
              </w:rPr>
              <w:t>.</w:t>
            </w:r>
            <w:r w:rsidR="15347BFC" w:rsidRPr="00AF15A4">
              <w:rPr>
                <w:rStyle w:val="normaltextrun"/>
                <w:rFonts w:ascii="Calibri" w:hAnsi="Calibri" w:cs="Calibri"/>
                <w:color w:val="000000" w:themeColor="text1"/>
                <w:sz w:val="21"/>
                <w:szCs w:val="21"/>
              </w:rPr>
              <w:t xml:space="preserve"> QTS and Leadership experience</w:t>
            </w:r>
          </w:p>
        </w:tc>
      </w:tr>
      <w:tr w:rsidR="001F1E18" w:rsidRPr="001F1E18" w14:paraId="22047EE8" w14:textId="77777777" w:rsidTr="50597BA3">
        <w:tc>
          <w:tcPr>
            <w:tcW w:w="617" w:type="dxa"/>
          </w:tcPr>
          <w:p w14:paraId="43E08BC9" w14:textId="33909848" w:rsidR="00C577BE" w:rsidRPr="001F1E18" w:rsidRDefault="00251B3A" w:rsidP="00C577BE">
            <w:pPr>
              <w:spacing w:after="0" w:line="240" w:lineRule="auto"/>
              <w:ind w:right="118"/>
              <w:rPr>
                <w:b/>
                <w:bCs/>
                <w:sz w:val="24"/>
                <w:szCs w:val="24"/>
              </w:rPr>
            </w:pPr>
            <w:r w:rsidRPr="001F1E18">
              <w:rPr>
                <w:b/>
                <w:bCs/>
                <w:sz w:val="24"/>
                <w:szCs w:val="24"/>
              </w:rPr>
              <w:t>2</w:t>
            </w:r>
          </w:p>
        </w:tc>
        <w:tc>
          <w:tcPr>
            <w:tcW w:w="8911" w:type="dxa"/>
          </w:tcPr>
          <w:p w14:paraId="185F7B28" w14:textId="573E812A" w:rsidR="00C577BE" w:rsidRPr="00466206" w:rsidRDefault="2C77BA2E"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 xml:space="preserve">Significant experience in the use of Educational, Health and Care Plans and </w:t>
            </w:r>
            <w:r w:rsidR="003A2412" w:rsidRPr="00466206">
              <w:rPr>
                <w:rStyle w:val="normaltextrun"/>
                <w:rFonts w:ascii="Calibri" w:hAnsi="Calibri" w:cs="Calibri"/>
                <w:sz w:val="21"/>
                <w:szCs w:val="21"/>
              </w:rPr>
              <w:t xml:space="preserve">CYP who are SEND Support understanding the legal guidelines and local </w:t>
            </w:r>
            <w:r w:rsidRPr="00466206">
              <w:rPr>
                <w:rStyle w:val="normaltextrun"/>
                <w:rFonts w:ascii="Calibri" w:hAnsi="Calibri" w:cs="Calibri"/>
                <w:sz w:val="21"/>
                <w:szCs w:val="21"/>
              </w:rPr>
              <w:t xml:space="preserve">policy </w:t>
            </w:r>
            <w:r w:rsidR="00154570" w:rsidRPr="00466206">
              <w:rPr>
                <w:rStyle w:val="normaltextrun"/>
                <w:rFonts w:ascii="Calibri" w:hAnsi="Calibri" w:cs="Calibri"/>
                <w:sz w:val="21"/>
                <w:szCs w:val="21"/>
              </w:rPr>
              <w:t>around Section</w:t>
            </w:r>
            <w:r w:rsidR="003A2412" w:rsidRPr="00466206">
              <w:rPr>
                <w:rStyle w:val="normaltextrun"/>
                <w:rFonts w:ascii="Calibri" w:hAnsi="Calibri" w:cs="Calibri"/>
                <w:sz w:val="21"/>
                <w:szCs w:val="21"/>
              </w:rPr>
              <w:t xml:space="preserve"> 19</w:t>
            </w:r>
          </w:p>
        </w:tc>
      </w:tr>
      <w:tr w:rsidR="001F1E18" w:rsidRPr="001F1E18" w14:paraId="14F12F2B" w14:textId="77777777" w:rsidTr="50597BA3">
        <w:trPr>
          <w:trHeight w:val="300"/>
        </w:trPr>
        <w:tc>
          <w:tcPr>
            <w:tcW w:w="617" w:type="dxa"/>
          </w:tcPr>
          <w:p w14:paraId="06DD4C04" w14:textId="039FAED4" w:rsidR="55CCB034" w:rsidRPr="001F1E18" w:rsidRDefault="00C2766C" w:rsidP="123BA5C6">
            <w:pPr>
              <w:spacing w:line="240" w:lineRule="auto"/>
              <w:rPr>
                <w:b/>
                <w:bCs/>
                <w:sz w:val="24"/>
                <w:szCs w:val="24"/>
              </w:rPr>
            </w:pPr>
            <w:r>
              <w:rPr>
                <w:b/>
                <w:bCs/>
                <w:sz w:val="24"/>
                <w:szCs w:val="24"/>
              </w:rPr>
              <w:t>3</w:t>
            </w:r>
          </w:p>
        </w:tc>
        <w:tc>
          <w:tcPr>
            <w:tcW w:w="8911" w:type="dxa"/>
          </w:tcPr>
          <w:p w14:paraId="5B9F7188" w14:textId="6ED0F240" w:rsidR="7E6A8C7C" w:rsidRPr="00466206" w:rsidRDefault="00324A1B"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 xml:space="preserve">Excellent ICT skills including the use of word, power point, </w:t>
            </w:r>
            <w:r w:rsidR="00154570" w:rsidRPr="00466206">
              <w:rPr>
                <w:rStyle w:val="normaltextrun"/>
                <w:rFonts w:ascii="Calibri" w:hAnsi="Calibri" w:cs="Calibri"/>
                <w:sz w:val="21"/>
                <w:szCs w:val="21"/>
              </w:rPr>
              <w:t>excel,</w:t>
            </w:r>
            <w:r w:rsidRPr="00466206">
              <w:rPr>
                <w:rStyle w:val="normaltextrun"/>
                <w:rFonts w:ascii="Calibri" w:hAnsi="Calibri" w:cs="Calibri"/>
                <w:sz w:val="21"/>
                <w:szCs w:val="21"/>
              </w:rPr>
              <w:t xml:space="preserve"> AI tools and Capita ONE </w:t>
            </w:r>
          </w:p>
        </w:tc>
      </w:tr>
      <w:tr w:rsidR="001F1E18" w:rsidRPr="001F1E18" w14:paraId="105B2C64" w14:textId="77777777" w:rsidTr="50597BA3">
        <w:trPr>
          <w:trHeight w:val="300"/>
        </w:trPr>
        <w:tc>
          <w:tcPr>
            <w:tcW w:w="617" w:type="dxa"/>
          </w:tcPr>
          <w:p w14:paraId="72A9B000" w14:textId="20D05640" w:rsidR="6D6647BB" w:rsidRPr="001F1E18" w:rsidRDefault="00C2766C" w:rsidP="123BA5C6">
            <w:pPr>
              <w:spacing w:line="240" w:lineRule="auto"/>
              <w:rPr>
                <w:b/>
                <w:bCs/>
                <w:sz w:val="24"/>
                <w:szCs w:val="24"/>
              </w:rPr>
            </w:pPr>
            <w:r>
              <w:rPr>
                <w:b/>
                <w:bCs/>
                <w:sz w:val="24"/>
                <w:szCs w:val="24"/>
              </w:rPr>
              <w:t>4</w:t>
            </w:r>
          </w:p>
        </w:tc>
        <w:tc>
          <w:tcPr>
            <w:tcW w:w="8911" w:type="dxa"/>
          </w:tcPr>
          <w:p w14:paraId="24D182B8" w14:textId="1C13D7E4" w:rsidR="12FC0573" w:rsidRPr="00466206" w:rsidRDefault="00324A1B"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 xml:space="preserve">Effective written and verbal communication skills, ensuring EHCPs </w:t>
            </w:r>
            <w:r w:rsidR="003A2412" w:rsidRPr="00466206">
              <w:rPr>
                <w:rStyle w:val="normaltextrun"/>
                <w:rFonts w:ascii="Calibri" w:hAnsi="Calibri" w:cs="Calibri"/>
                <w:sz w:val="21"/>
                <w:szCs w:val="21"/>
              </w:rPr>
              <w:t xml:space="preserve">/ SEND support plans and reports </w:t>
            </w:r>
            <w:r w:rsidRPr="00466206">
              <w:rPr>
                <w:rStyle w:val="normaltextrun"/>
                <w:rFonts w:ascii="Calibri" w:hAnsi="Calibri" w:cs="Calibri"/>
                <w:sz w:val="21"/>
                <w:szCs w:val="21"/>
              </w:rPr>
              <w:t xml:space="preserve">can be produced with a </w:t>
            </w:r>
            <w:r w:rsidR="00154570" w:rsidRPr="00466206">
              <w:rPr>
                <w:rStyle w:val="normaltextrun"/>
                <w:rFonts w:ascii="Calibri" w:hAnsi="Calibri" w:cs="Calibri"/>
                <w:sz w:val="21"/>
                <w:szCs w:val="21"/>
              </w:rPr>
              <w:t>high-quality</w:t>
            </w:r>
            <w:r w:rsidRPr="00466206">
              <w:rPr>
                <w:rStyle w:val="normaltextrun"/>
                <w:rFonts w:ascii="Calibri" w:hAnsi="Calibri" w:cs="Calibri"/>
                <w:sz w:val="21"/>
                <w:szCs w:val="21"/>
              </w:rPr>
              <w:t xml:space="preserve"> ability to deal with families and professionals who may be anxious or unhappy with the decisions made </w:t>
            </w:r>
          </w:p>
        </w:tc>
      </w:tr>
      <w:tr w:rsidR="001F1E18" w:rsidRPr="001F1E18" w14:paraId="620AE169" w14:textId="77777777" w:rsidTr="50597BA3">
        <w:trPr>
          <w:trHeight w:val="300"/>
        </w:trPr>
        <w:tc>
          <w:tcPr>
            <w:tcW w:w="617" w:type="dxa"/>
          </w:tcPr>
          <w:p w14:paraId="28806D35" w14:textId="01E40FFE" w:rsidR="5DBA9512" w:rsidRPr="001F1E18" w:rsidRDefault="00C2766C" w:rsidP="123BA5C6">
            <w:pPr>
              <w:spacing w:line="240" w:lineRule="auto"/>
              <w:rPr>
                <w:b/>
                <w:bCs/>
                <w:sz w:val="24"/>
                <w:szCs w:val="24"/>
              </w:rPr>
            </w:pPr>
            <w:r>
              <w:rPr>
                <w:b/>
                <w:bCs/>
                <w:sz w:val="24"/>
                <w:szCs w:val="24"/>
              </w:rPr>
              <w:t>5</w:t>
            </w:r>
          </w:p>
        </w:tc>
        <w:tc>
          <w:tcPr>
            <w:tcW w:w="8911" w:type="dxa"/>
          </w:tcPr>
          <w:p w14:paraId="4A1C3A79" w14:textId="2B64014C" w:rsidR="12FC0573" w:rsidRPr="00466206" w:rsidRDefault="12FC0573"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 xml:space="preserve">Have a flexible approach to resolving challenging situations and </w:t>
            </w:r>
            <w:r w:rsidR="00154570" w:rsidRPr="00466206">
              <w:rPr>
                <w:rStyle w:val="normaltextrun"/>
                <w:rFonts w:ascii="Calibri" w:hAnsi="Calibri" w:cs="Calibri"/>
                <w:sz w:val="21"/>
                <w:szCs w:val="21"/>
              </w:rPr>
              <w:t>conversations and</w:t>
            </w:r>
            <w:r w:rsidRPr="00466206">
              <w:rPr>
                <w:rStyle w:val="normaltextrun"/>
                <w:rFonts w:ascii="Calibri" w:hAnsi="Calibri" w:cs="Calibri"/>
                <w:sz w:val="21"/>
                <w:szCs w:val="21"/>
              </w:rPr>
              <w:t xml:space="preserve"> be able to maintain a calm and professional manner in a variety of environments.</w:t>
            </w:r>
            <w:r w:rsidR="00DA6D4A" w:rsidRPr="00466206">
              <w:rPr>
                <w:rStyle w:val="normaltextrun"/>
                <w:rFonts w:ascii="Calibri" w:hAnsi="Calibri" w:cs="Calibri"/>
                <w:sz w:val="21"/>
                <w:szCs w:val="21"/>
              </w:rPr>
              <w:t xml:space="preserve"> Experience and ability to manage and hold Local Authority decisions when stake holders </w:t>
            </w:r>
            <w:r w:rsidR="00154570" w:rsidRPr="00466206">
              <w:rPr>
                <w:rStyle w:val="normaltextrun"/>
                <w:rFonts w:ascii="Calibri" w:hAnsi="Calibri" w:cs="Calibri"/>
                <w:sz w:val="21"/>
                <w:szCs w:val="21"/>
              </w:rPr>
              <w:t>may voice</w:t>
            </w:r>
            <w:r w:rsidR="00DA6D4A" w:rsidRPr="00466206">
              <w:rPr>
                <w:rStyle w:val="normaltextrun"/>
                <w:rFonts w:ascii="Calibri" w:hAnsi="Calibri" w:cs="Calibri"/>
                <w:sz w:val="21"/>
                <w:szCs w:val="21"/>
              </w:rPr>
              <w:t xml:space="preserve"> dissatisfaction at outcomes</w:t>
            </w:r>
          </w:p>
        </w:tc>
      </w:tr>
      <w:tr w:rsidR="001F1E18" w:rsidRPr="001F1E18" w14:paraId="11C93295" w14:textId="77777777" w:rsidTr="50597BA3">
        <w:trPr>
          <w:trHeight w:val="300"/>
        </w:trPr>
        <w:tc>
          <w:tcPr>
            <w:tcW w:w="617" w:type="dxa"/>
          </w:tcPr>
          <w:p w14:paraId="6135AC08" w14:textId="101707CB" w:rsidR="4FE13078" w:rsidRPr="001F1E18" w:rsidRDefault="00C2766C" w:rsidP="123BA5C6">
            <w:pPr>
              <w:spacing w:line="240" w:lineRule="auto"/>
              <w:rPr>
                <w:b/>
                <w:bCs/>
                <w:sz w:val="24"/>
                <w:szCs w:val="24"/>
              </w:rPr>
            </w:pPr>
            <w:r>
              <w:rPr>
                <w:b/>
                <w:bCs/>
                <w:sz w:val="24"/>
                <w:szCs w:val="24"/>
              </w:rPr>
              <w:t>6</w:t>
            </w:r>
          </w:p>
        </w:tc>
        <w:tc>
          <w:tcPr>
            <w:tcW w:w="8911" w:type="dxa"/>
          </w:tcPr>
          <w:p w14:paraId="118F4ABA" w14:textId="3CF93714" w:rsidR="4FE13078" w:rsidRPr="00466206" w:rsidRDefault="4FE13078"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Have a particular interest in and experience of one or all age groups – Post 16, Secondary</w:t>
            </w:r>
            <w:r w:rsidR="00C759E0" w:rsidRPr="00466206">
              <w:rPr>
                <w:rStyle w:val="normaltextrun"/>
                <w:rFonts w:ascii="Calibri" w:hAnsi="Calibri" w:cs="Calibri"/>
                <w:sz w:val="21"/>
                <w:szCs w:val="21"/>
              </w:rPr>
              <w:t xml:space="preserve"> and</w:t>
            </w:r>
            <w:r w:rsidRPr="00466206">
              <w:rPr>
                <w:rStyle w:val="normaltextrun"/>
                <w:rFonts w:ascii="Calibri" w:hAnsi="Calibri" w:cs="Calibri"/>
                <w:sz w:val="21"/>
                <w:szCs w:val="21"/>
              </w:rPr>
              <w:t xml:space="preserve"> </w:t>
            </w:r>
            <w:r w:rsidR="00154570" w:rsidRPr="00466206">
              <w:rPr>
                <w:rStyle w:val="normaltextrun"/>
                <w:rFonts w:ascii="Calibri" w:hAnsi="Calibri" w:cs="Calibri"/>
                <w:sz w:val="21"/>
                <w:szCs w:val="21"/>
              </w:rPr>
              <w:t>Primary.</w:t>
            </w:r>
          </w:p>
        </w:tc>
      </w:tr>
      <w:tr w:rsidR="001F1E18" w:rsidRPr="001F1E18" w14:paraId="62A668B6" w14:textId="77777777" w:rsidTr="50597BA3">
        <w:trPr>
          <w:trHeight w:val="300"/>
        </w:trPr>
        <w:tc>
          <w:tcPr>
            <w:tcW w:w="617" w:type="dxa"/>
          </w:tcPr>
          <w:p w14:paraId="72419A33" w14:textId="3AB048DB" w:rsidR="4FE13078" w:rsidRPr="001F1E18" w:rsidRDefault="00C2766C" w:rsidP="123BA5C6">
            <w:pPr>
              <w:spacing w:line="240" w:lineRule="auto"/>
              <w:rPr>
                <w:b/>
                <w:bCs/>
                <w:sz w:val="24"/>
                <w:szCs w:val="24"/>
              </w:rPr>
            </w:pPr>
            <w:r>
              <w:rPr>
                <w:b/>
                <w:bCs/>
                <w:sz w:val="24"/>
                <w:szCs w:val="24"/>
              </w:rPr>
              <w:t>7</w:t>
            </w:r>
          </w:p>
        </w:tc>
        <w:tc>
          <w:tcPr>
            <w:tcW w:w="8911" w:type="dxa"/>
          </w:tcPr>
          <w:p w14:paraId="2D685794" w14:textId="4E98E53C" w:rsidR="4FE13078" w:rsidRPr="00466206" w:rsidRDefault="00DA6D4A"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Be resilient in the changing landscape of SEND showing ability to be flexible and work to the needs of the ever-changing business </w:t>
            </w:r>
          </w:p>
        </w:tc>
      </w:tr>
      <w:tr w:rsidR="00251B3A" w:rsidRPr="001F1E18" w14:paraId="7F2A32F9" w14:textId="77777777" w:rsidTr="50597BA3">
        <w:trPr>
          <w:trHeight w:val="300"/>
        </w:trPr>
        <w:tc>
          <w:tcPr>
            <w:tcW w:w="617" w:type="dxa"/>
          </w:tcPr>
          <w:p w14:paraId="0F5B18B0" w14:textId="7B4A1157" w:rsidR="00251B3A" w:rsidRPr="001F1E18" w:rsidRDefault="00C2766C" w:rsidP="00251B3A">
            <w:pPr>
              <w:spacing w:line="240" w:lineRule="auto"/>
              <w:rPr>
                <w:b/>
                <w:bCs/>
                <w:sz w:val="24"/>
                <w:szCs w:val="24"/>
              </w:rPr>
            </w:pPr>
            <w:r>
              <w:rPr>
                <w:b/>
                <w:bCs/>
                <w:sz w:val="24"/>
                <w:szCs w:val="24"/>
              </w:rPr>
              <w:t>8</w:t>
            </w:r>
          </w:p>
        </w:tc>
        <w:tc>
          <w:tcPr>
            <w:tcW w:w="8911" w:type="dxa"/>
          </w:tcPr>
          <w:p w14:paraId="34CEDE12" w14:textId="2A2CCD7D" w:rsidR="00251B3A" w:rsidRPr="00C2766C" w:rsidRDefault="00251B3A"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Pass an Enhanced DBS check as part of pre-employment checks (unless you are on the DBS Update Service).</w:t>
            </w:r>
          </w:p>
        </w:tc>
      </w:tr>
      <w:tr w:rsidR="00251B3A" w:rsidRPr="001F1E18" w14:paraId="04112389" w14:textId="77777777" w:rsidTr="50597BA3">
        <w:trPr>
          <w:trHeight w:val="300"/>
        </w:trPr>
        <w:tc>
          <w:tcPr>
            <w:tcW w:w="617" w:type="dxa"/>
          </w:tcPr>
          <w:p w14:paraId="52C0429D" w14:textId="5C0CE42E" w:rsidR="00251B3A" w:rsidRPr="001F1E18" w:rsidRDefault="00C2766C" w:rsidP="00251B3A">
            <w:pPr>
              <w:spacing w:line="240" w:lineRule="auto"/>
              <w:rPr>
                <w:b/>
                <w:bCs/>
                <w:sz w:val="24"/>
                <w:szCs w:val="24"/>
              </w:rPr>
            </w:pPr>
            <w:r>
              <w:rPr>
                <w:b/>
                <w:bCs/>
                <w:sz w:val="24"/>
                <w:szCs w:val="24"/>
              </w:rPr>
              <w:t>9</w:t>
            </w:r>
          </w:p>
        </w:tc>
        <w:tc>
          <w:tcPr>
            <w:tcW w:w="8911" w:type="dxa"/>
          </w:tcPr>
          <w:p w14:paraId="34C8527C" w14:textId="295E3EE2" w:rsidR="00251B3A" w:rsidRPr="00466206" w:rsidRDefault="00251B3A" w:rsidP="00466206">
            <w:pPr>
              <w:shd w:val="clear" w:color="auto" w:fill="FFFFFF" w:themeFill="background1"/>
              <w:spacing w:after="150" w:line="240" w:lineRule="auto"/>
              <w:rPr>
                <w:rStyle w:val="normaltextrun"/>
                <w:rFonts w:ascii="Calibri" w:hAnsi="Calibri" w:cs="Calibri"/>
                <w:sz w:val="21"/>
                <w:szCs w:val="21"/>
              </w:rPr>
            </w:pPr>
            <w:r w:rsidRPr="00466206">
              <w:rPr>
                <w:rStyle w:val="normaltextrun"/>
                <w:rFonts w:ascii="Calibri" w:hAnsi="Calibri" w:cs="Calibri"/>
                <w:sz w:val="21"/>
                <w:szCs w:val="21"/>
              </w:rPr>
              <w:t>Have a full UK driving license and access to a car is essential as you will be requested to travel to settings/homes all over and outside of Milton Keynes. You will be required to provide evidence of your vehicle insurance with business use. This is required for any roles that requires the employee to travel to more than one place of work.</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62ABEFA1" w14:textId="374BA02F" w:rsidR="00CB2D31" w:rsidRPr="00D3494A" w:rsidRDefault="00AF15A4" w:rsidP="00C577BE">
      <w:pPr>
        <w:ind w:left="567" w:right="118"/>
        <w:rPr>
          <w:rFonts w:ascii="Amasis MT Pro Black" w:hAnsi="Amasis MT Pro Black"/>
          <w:color w:val="009999"/>
          <w:sz w:val="24"/>
          <w:szCs w:val="24"/>
        </w:rPr>
      </w:pPr>
      <w:r>
        <w:rPr>
          <w:rFonts w:ascii="Amasis MT Pro Black" w:hAnsi="Amasis MT Pro Black"/>
          <w:b/>
          <w:bCs/>
          <w:color w:val="008796"/>
          <w:sz w:val="48"/>
          <w:szCs w:val="48"/>
        </w:rPr>
        <w:t xml:space="preserve">Education (Teacher’s </w:t>
      </w:r>
      <w:proofErr w:type="spellStart"/>
      <w:r>
        <w:rPr>
          <w:rFonts w:ascii="Amasis MT Pro Black" w:hAnsi="Amasis MT Pro Black"/>
          <w:b/>
          <w:bCs/>
          <w:color w:val="008796"/>
          <w:sz w:val="48"/>
          <w:szCs w:val="48"/>
        </w:rPr>
        <w:t>Maingrade</w:t>
      </w:r>
      <w:proofErr w:type="spellEnd"/>
      <w:r>
        <w:rPr>
          <w:rFonts w:ascii="Amasis MT Pro Black" w:hAnsi="Amasis MT Pro Black"/>
          <w:b/>
          <w:bCs/>
          <w:color w:val="008796"/>
          <w:sz w:val="48"/>
          <w:szCs w:val="48"/>
        </w:rPr>
        <w:t xml:space="preserve"> / UPS/ plus SEND</w:t>
      </w: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501C9257" w14:textId="77777777" w:rsidR="001C1745" w:rsidRDefault="001C1745" w:rsidP="002216F3">
      <w:pPr>
        <w:spacing w:after="0" w:line="240" w:lineRule="auto"/>
        <w:ind w:right="260"/>
        <w:rPr>
          <w:rFonts w:cstheme="minorHAnsi"/>
          <w:b/>
          <w:bCs/>
          <w:color w:val="000000" w:themeColor="text1"/>
          <w:sz w:val="24"/>
          <w:szCs w:val="24"/>
        </w:rPr>
      </w:pP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23C6736" w14:textId="0BD456CB" w:rsidR="008A7275" w:rsidRPr="00554407" w:rsidRDefault="00554407" w:rsidP="008A7275">
      <w:pPr>
        <w:spacing w:after="0" w:line="240" w:lineRule="auto"/>
        <w:ind w:left="567" w:right="260"/>
        <w:rPr>
          <w:noProof/>
          <w:sz w:val="24"/>
          <w:szCs w:val="24"/>
        </w:rPr>
      </w:pPr>
      <w:r w:rsidRPr="00554407">
        <w:rPr>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1201D12" w14:textId="77777777" w:rsidR="00554407" w:rsidRPr="00554407" w:rsidRDefault="00554407" w:rsidP="008A7275">
      <w:pPr>
        <w:spacing w:after="0" w:line="240" w:lineRule="auto"/>
        <w:ind w:left="567" w:right="260"/>
        <w:rPr>
          <w:b/>
          <w:bCs/>
          <w:noProof/>
          <w:sz w:val="24"/>
          <w:szCs w:val="24"/>
        </w:rPr>
      </w:pPr>
    </w:p>
    <w:p w14:paraId="12507808" w14:textId="71D485DB" w:rsidR="008A7275" w:rsidRPr="00554407" w:rsidRDefault="008A7275" w:rsidP="008A7275">
      <w:pPr>
        <w:spacing w:after="0" w:line="240" w:lineRule="auto"/>
        <w:ind w:left="567" w:right="260"/>
        <w:rPr>
          <w:b/>
          <w:bCs/>
          <w:noProof/>
          <w:sz w:val="24"/>
          <w:szCs w:val="24"/>
        </w:rPr>
      </w:pPr>
      <w:r w:rsidRPr="00554407">
        <w:rPr>
          <w:b/>
          <w:bCs/>
          <w:noProof/>
          <w:sz w:val="24"/>
          <w:szCs w:val="24"/>
        </w:rPr>
        <w:t>Role characteristics</w:t>
      </w:r>
    </w:p>
    <w:p w14:paraId="341996A9" w14:textId="77777777" w:rsidR="008A7275" w:rsidRPr="00554407" w:rsidRDefault="008A7275" w:rsidP="008A7275">
      <w:pPr>
        <w:spacing w:after="0" w:line="240" w:lineRule="auto"/>
        <w:ind w:left="567" w:right="260"/>
        <w:rPr>
          <w:noProof/>
          <w:sz w:val="24"/>
          <w:szCs w:val="24"/>
        </w:rPr>
      </w:pPr>
    </w:p>
    <w:p w14:paraId="2B8C8A82" w14:textId="77777777" w:rsidR="00554407" w:rsidRPr="00554407" w:rsidRDefault="00554407" w:rsidP="008A7275">
      <w:pPr>
        <w:spacing w:after="0" w:line="240" w:lineRule="auto"/>
        <w:ind w:left="567" w:right="260"/>
        <w:rPr>
          <w:b/>
          <w:bCs/>
          <w:noProof/>
          <w:sz w:val="24"/>
          <w:szCs w:val="24"/>
        </w:rPr>
      </w:pPr>
      <w:r w:rsidRPr="00554407">
        <w:rPr>
          <w:sz w:val="24"/>
          <w:szCs w:val="24"/>
        </w:rPr>
        <w:t xml:space="preserve">At this level job holders use their extensive experience and postgraduate level professional knowledge to take a lead in complex interactions with others, delivering change by </w:t>
      </w:r>
      <w:proofErr w:type="gramStart"/>
      <w:r w:rsidRPr="00554407">
        <w:rPr>
          <w:sz w:val="24"/>
          <w:szCs w:val="24"/>
        </w:rPr>
        <w:t>evidence based</w:t>
      </w:r>
      <w:proofErr w:type="gramEnd"/>
      <w:r w:rsidRPr="00554407">
        <w:rPr>
          <w:sz w:val="24"/>
          <w:szCs w:val="24"/>
        </w:rPr>
        <w:t xml:space="preserve"> argument and persuasion. They exert professional influence on the organisational structures and procedures within their working area to enhance productivity, efficiency and customer satisfaction.</w:t>
      </w:r>
      <w:r w:rsidRPr="00554407">
        <w:rPr>
          <w:b/>
          <w:bCs/>
          <w:noProof/>
          <w:sz w:val="24"/>
          <w:szCs w:val="24"/>
        </w:rPr>
        <w:t xml:space="preserve"> </w:t>
      </w:r>
    </w:p>
    <w:p w14:paraId="26D29076" w14:textId="77777777" w:rsidR="00554407" w:rsidRPr="00554407" w:rsidRDefault="00554407" w:rsidP="008A7275">
      <w:pPr>
        <w:spacing w:after="0" w:line="240" w:lineRule="auto"/>
        <w:ind w:left="567" w:right="260"/>
        <w:rPr>
          <w:b/>
          <w:bCs/>
          <w:noProof/>
          <w:sz w:val="24"/>
          <w:szCs w:val="24"/>
        </w:rPr>
      </w:pPr>
    </w:p>
    <w:p w14:paraId="34C4C536" w14:textId="2C64DD10" w:rsidR="008A7275" w:rsidRPr="00554407" w:rsidRDefault="00554407" w:rsidP="00554407">
      <w:pPr>
        <w:spacing w:after="0" w:line="240" w:lineRule="auto"/>
        <w:ind w:right="260"/>
        <w:rPr>
          <w:b/>
          <w:bCs/>
          <w:noProof/>
          <w:sz w:val="24"/>
          <w:szCs w:val="24"/>
        </w:rPr>
      </w:pPr>
      <w:r w:rsidRPr="00554407">
        <w:rPr>
          <w:b/>
          <w:bCs/>
          <w:noProof/>
          <w:sz w:val="24"/>
          <w:szCs w:val="24"/>
        </w:rPr>
        <w:t xml:space="preserve">          T</w:t>
      </w:r>
      <w:r w:rsidR="008A7275" w:rsidRPr="00554407">
        <w:rPr>
          <w:b/>
          <w:bCs/>
          <w:noProof/>
          <w:sz w:val="24"/>
          <w:szCs w:val="24"/>
        </w:rPr>
        <w:t>he knowledge and skills required</w:t>
      </w:r>
    </w:p>
    <w:p w14:paraId="7BCE7E42" w14:textId="77777777" w:rsidR="008A7275" w:rsidRPr="00554407" w:rsidRDefault="008A7275" w:rsidP="008A7275">
      <w:pPr>
        <w:spacing w:after="0" w:line="240" w:lineRule="auto"/>
        <w:ind w:left="567" w:right="260"/>
        <w:rPr>
          <w:noProof/>
          <w:sz w:val="24"/>
          <w:szCs w:val="24"/>
        </w:rPr>
      </w:pPr>
    </w:p>
    <w:p w14:paraId="4EC4B744" w14:textId="77777777" w:rsidR="00554407" w:rsidRPr="00554407" w:rsidRDefault="00554407" w:rsidP="008A7275">
      <w:pPr>
        <w:spacing w:after="0" w:line="240" w:lineRule="auto"/>
        <w:ind w:left="567" w:right="260"/>
        <w:rPr>
          <w:sz w:val="24"/>
          <w:szCs w:val="24"/>
        </w:rPr>
      </w:pPr>
      <w:r w:rsidRPr="00554407">
        <w:rPr>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Council operational structures which both support and depend upon the job holder’s actions and advice. Roles will be professional experts, providing guidance to those in earlier career stages. While </w:t>
      </w:r>
      <w:proofErr w:type="gramStart"/>
      <w:r w:rsidRPr="00554407">
        <w:rPr>
          <w:sz w:val="24"/>
          <w:szCs w:val="24"/>
        </w:rPr>
        <w:t>the majority of</w:t>
      </w:r>
      <w:proofErr w:type="gramEnd"/>
      <w:r w:rsidRPr="00554407">
        <w:rPr>
          <w:sz w:val="24"/>
          <w:szCs w:val="24"/>
        </w:rPr>
        <w:t xml:space="preserve"> roles will have demands for manual dexterity in relation to typing and similar functions, other jobs will use a range of equipment requiring precision in their use and handling. </w:t>
      </w:r>
    </w:p>
    <w:p w14:paraId="7B14F0F5" w14:textId="77777777" w:rsidR="00554407" w:rsidRPr="00554407" w:rsidRDefault="00554407" w:rsidP="008A7275">
      <w:pPr>
        <w:spacing w:after="0" w:line="240" w:lineRule="auto"/>
        <w:ind w:left="567" w:right="260"/>
        <w:rPr>
          <w:sz w:val="24"/>
          <w:szCs w:val="24"/>
        </w:rPr>
      </w:pPr>
    </w:p>
    <w:p w14:paraId="0DD11922" w14:textId="6BB78923" w:rsidR="008A7275" w:rsidRPr="00554407" w:rsidRDefault="008A7275" w:rsidP="008A7275">
      <w:pPr>
        <w:spacing w:after="0" w:line="240" w:lineRule="auto"/>
        <w:ind w:left="567" w:right="260"/>
        <w:rPr>
          <w:b/>
          <w:bCs/>
          <w:noProof/>
          <w:sz w:val="24"/>
          <w:szCs w:val="24"/>
        </w:rPr>
      </w:pPr>
      <w:r w:rsidRPr="00554407">
        <w:rPr>
          <w:b/>
          <w:bCs/>
          <w:noProof/>
          <w:sz w:val="24"/>
          <w:szCs w:val="24"/>
        </w:rPr>
        <w:t>Thinking, planning and communication</w:t>
      </w:r>
    </w:p>
    <w:p w14:paraId="29BDEA92" w14:textId="77777777" w:rsidR="008A7275" w:rsidRPr="00554407" w:rsidRDefault="008A7275" w:rsidP="008A7275">
      <w:pPr>
        <w:spacing w:after="0" w:line="240" w:lineRule="auto"/>
        <w:ind w:left="567" w:right="260"/>
        <w:rPr>
          <w:noProof/>
          <w:sz w:val="24"/>
          <w:szCs w:val="24"/>
        </w:rPr>
      </w:pPr>
    </w:p>
    <w:p w14:paraId="5BFE659D" w14:textId="6C411DB6" w:rsidR="008A7275" w:rsidRPr="00554407" w:rsidRDefault="00554407" w:rsidP="008A7275">
      <w:pPr>
        <w:spacing w:after="0" w:line="240" w:lineRule="auto"/>
        <w:ind w:left="567" w:right="260"/>
        <w:rPr>
          <w:sz w:val="24"/>
          <w:szCs w:val="24"/>
        </w:rPr>
      </w:pPr>
      <w:r w:rsidRPr="00554407">
        <w:rPr>
          <w:sz w:val="24"/>
          <w:szCs w:val="24"/>
        </w:rPr>
        <w:lastRenderedPageBreak/>
        <w:t xml:space="preserve">Job holders will use their professional expertise to deal with complex, pressing issues on a </w:t>
      </w:r>
      <w:proofErr w:type="gramStart"/>
      <w:r w:rsidRPr="00554407">
        <w:rPr>
          <w:sz w:val="24"/>
          <w:szCs w:val="24"/>
        </w:rPr>
        <w:t>day to day</w:t>
      </w:r>
      <w:proofErr w:type="gramEnd"/>
      <w:r w:rsidRPr="00554407">
        <w:rPr>
          <w:sz w:val="24"/>
          <w:szCs w:val="24"/>
        </w:rPr>
        <w:t xml:space="preserve"> basis, but will also look well ahead and take a more strategic view of their project and service delivery objectives, shaping their teams’ composition, approach and operating procedures in accordance with wider service goals mandated by Service management. 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 based and reasoned argument. This will occur in written interactions but can also be the case in </w:t>
      </w:r>
      <w:proofErr w:type="gramStart"/>
      <w:r w:rsidRPr="00554407">
        <w:rPr>
          <w:sz w:val="24"/>
          <w:szCs w:val="24"/>
        </w:rPr>
        <w:t>face to face</w:t>
      </w:r>
      <w:proofErr w:type="gramEnd"/>
      <w:r w:rsidRPr="00554407">
        <w:rPr>
          <w:sz w:val="24"/>
          <w:szCs w:val="24"/>
        </w:rPr>
        <w:t xml:space="preserve"> verbal exchanges where job holders will advocate a position in response to opposing opinion in a formal or informal setting.</w:t>
      </w:r>
    </w:p>
    <w:p w14:paraId="6A073EAB" w14:textId="77777777" w:rsidR="00554407" w:rsidRPr="00554407" w:rsidRDefault="00554407" w:rsidP="008A7275">
      <w:pPr>
        <w:spacing w:after="0" w:line="240" w:lineRule="auto"/>
        <w:ind w:left="567" w:right="260"/>
        <w:rPr>
          <w:noProof/>
          <w:sz w:val="24"/>
          <w:szCs w:val="24"/>
        </w:rPr>
      </w:pPr>
    </w:p>
    <w:p w14:paraId="498D2CFF" w14:textId="77777777" w:rsidR="008A7275" w:rsidRPr="00554407" w:rsidRDefault="008A7275" w:rsidP="008A7275">
      <w:pPr>
        <w:spacing w:after="0" w:line="240" w:lineRule="auto"/>
        <w:ind w:left="567" w:right="260"/>
        <w:rPr>
          <w:b/>
          <w:bCs/>
          <w:noProof/>
          <w:sz w:val="24"/>
          <w:szCs w:val="24"/>
        </w:rPr>
      </w:pPr>
      <w:r w:rsidRPr="00554407">
        <w:rPr>
          <w:b/>
          <w:bCs/>
          <w:noProof/>
          <w:sz w:val="24"/>
          <w:szCs w:val="24"/>
        </w:rPr>
        <w:t>Decision making and innovation</w:t>
      </w:r>
    </w:p>
    <w:p w14:paraId="4804213B" w14:textId="77777777" w:rsidR="008A7275" w:rsidRPr="00554407" w:rsidRDefault="008A7275" w:rsidP="008A7275">
      <w:pPr>
        <w:spacing w:after="0" w:line="240" w:lineRule="auto"/>
        <w:ind w:left="567" w:right="260"/>
        <w:rPr>
          <w:noProof/>
          <w:sz w:val="24"/>
          <w:szCs w:val="24"/>
        </w:rPr>
      </w:pPr>
    </w:p>
    <w:p w14:paraId="616EFE60" w14:textId="01251ED6" w:rsidR="008A7275" w:rsidRPr="00554407" w:rsidRDefault="00554407" w:rsidP="008A7275">
      <w:pPr>
        <w:spacing w:after="0" w:line="240" w:lineRule="auto"/>
        <w:ind w:left="567" w:right="260"/>
        <w:rPr>
          <w:sz w:val="24"/>
          <w:szCs w:val="24"/>
        </w:rPr>
      </w:pPr>
      <w:r w:rsidRPr="00554407">
        <w:rPr>
          <w:sz w:val="24"/>
          <w:szCs w:val="24"/>
        </w:rPr>
        <w:t xml:space="preserve">Job holders will have the freedom to interpret policy and broad operating guidelines </w:t>
      </w:r>
      <w:proofErr w:type="gramStart"/>
      <w:r w:rsidRPr="00554407">
        <w:rPr>
          <w:sz w:val="24"/>
          <w:szCs w:val="24"/>
        </w:rPr>
        <w:t>in order to</w:t>
      </w:r>
      <w:proofErr w:type="gramEnd"/>
      <w:r w:rsidRPr="00554407">
        <w:rPr>
          <w:sz w:val="24"/>
          <w:szCs w:val="24"/>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5A48F927" w14:textId="77777777" w:rsidR="00554407" w:rsidRPr="00554407" w:rsidRDefault="00554407" w:rsidP="008A7275">
      <w:pPr>
        <w:spacing w:after="0" w:line="240" w:lineRule="auto"/>
        <w:ind w:left="567" w:right="260"/>
        <w:rPr>
          <w:noProof/>
          <w:sz w:val="24"/>
          <w:szCs w:val="24"/>
        </w:rPr>
      </w:pPr>
    </w:p>
    <w:p w14:paraId="7A219225" w14:textId="77777777" w:rsidR="008A7275" w:rsidRPr="00554407" w:rsidRDefault="008A7275" w:rsidP="008A7275">
      <w:pPr>
        <w:spacing w:after="0" w:line="240" w:lineRule="auto"/>
        <w:ind w:left="567" w:right="260"/>
        <w:rPr>
          <w:b/>
          <w:bCs/>
          <w:noProof/>
          <w:sz w:val="24"/>
          <w:szCs w:val="24"/>
        </w:rPr>
      </w:pPr>
      <w:r w:rsidRPr="00554407">
        <w:rPr>
          <w:b/>
          <w:bCs/>
          <w:noProof/>
          <w:sz w:val="24"/>
          <w:szCs w:val="24"/>
        </w:rPr>
        <w:t>Areas of responsibility</w:t>
      </w:r>
    </w:p>
    <w:p w14:paraId="74F09D82" w14:textId="77777777" w:rsidR="008A7275" w:rsidRPr="00554407" w:rsidRDefault="008A7275" w:rsidP="008A7275">
      <w:pPr>
        <w:spacing w:after="0" w:line="240" w:lineRule="auto"/>
        <w:ind w:left="567" w:right="260"/>
        <w:rPr>
          <w:noProof/>
          <w:sz w:val="24"/>
          <w:szCs w:val="24"/>
        </w:rPr>
      </w:pPr>
    </w:p>
    <w:p w14:paraId="5C3D85AD" w14:textId="77777777" w:rsidR="00554407" w:rsidRPr="00554407" w:rsidRDefault="00554407" w:rsidP="008A7275">
      <w:pPr>
        <w:spacing w:after="0" w:line="240" w:lineRule="auto"/>
        <w:ind w:left="567" w:right="260"/>
        <w:rPr>
          <w:sz w:val="24"/>
          <w:szCs w:val="24"/>
        </w:rPr>
      </w:pPr>
      <w:r w:rsidRPr="00554407">
        <w:rPr>
          <w:sz w:val="24"/>
          <w:szCs w:val="24"/>
        </w:rPr>
        <w:t xml:space="preserve">With a diverse range of jobs being represented at this level, the precise blend of responsibilities for which the job holder is accountable will depend upon the service in which they operate. </w:t>
      </w:r>
    </w:p>
    <w:p w14:paraId="4D503EE6" w14:textId="77777777" w:rsidR="00554407" w:rsidRPr="00554407" w:rsidRDefault="00554407" w:rsidP="008A7275">
      <w:pPr>
        <w:spacing w:after="0" w:line="240" w:lineRule="auto"/>
        <w:ind w:left="567" w:right="260"/>
        <w:rPr>
          <w:sz w:val="24"/>
          <w:szCs w:val="24"/>
        </w:rPr>
      </w:pPr>
    </w:p>
    <w:p w14:paraId="388E6788" w14:textId="77777777" w:rsidR="00554407" w:rsidRPr="00554407" w:rsidRDefault="00554407" w:rsidP="008A7275">
      <w:pPr>
        <w:spacing w:after="0" w:line="240" w:lineRule="auto"/>
        <w:ind w:left="567" w:right="260"/>
        <w:rPr>
          <w:sz w:val="24"/>
          <w:szCs w:val="24"/>
        </w:rPr>
      </w:pPr>
      <w:r w:rsidRPr="00554407">
        <w:rPr>
          <w:sz w:val="24"/>
          <w:szCs w:val="24"/>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 </w:t>
      </w:r>
    </w:p>
    <w:p w14:paraId="4734D706" w14:textId="77777777" w:rsidR="00554407" w:rsidRPr="00554407" w:rsidRDefault="00554407" w:rsidP="008A7275">
      <w:pPr>
        <w:spacing w:after="0" w:line="240" w:lineRule="auto"/>
        <w:ind w:left="567" w:right="260"/>
        <w:rPr>
          <w:sz w:val="24"/>
          <w:szCs w:val="24"/>
        </w:rPr>
      </w:pPr>
    </w:p>
    <w:p w14:paraId="4FD508B1" w14:textId="77777777" w:rsidR="00554407" w:rsidRPr="00554407" w:rsidRDefault="00554407" w:rsidP="008A7275">
      <w:pPr>
        <w:spacing w:after="0" w:line="240" w:lineRule="auto"/>
        <w:ind w:left="567" w:right="260"/>
        <w:rPr>
          <w:sz w:val="24"/>
          <w:szCs w:val="24"/>
        </w:rPr>
      </w:pPr>
      <w:r w:rsidRPr="00554407">
        <w:rPr>
          <w:sz w:val="24"/>
          <w:szCs w:val="24"/>
        </w:rPr>
        <w:t xml:space="preserve">Internal facing roles are likely to have this pattern reversed, with the weightiest responsibility for highly valuable or significant financial and non-financial assets, but somewhat less accountability for the assessment of needs of individuals and groups. </w:t>
      </w:r>
    </w:p>
    <w:p w14:paraId="3F131002" w14:textId="77777777" w:rsidR="00554407" w:rsidRPr="00554407" w:rsidRDefault="00554407" w:rsidP="008A7275">
      <w:pPr>
        <w:spacing w:after="0" w:line="240" w:lineRule="auto"/>
        <w:ind w:left="567" w:right="260"/>
        <w:rPr>
          <w:sz w:val="24"/>
          <w:szCs w:val="24"/>
        </w:rPr>
      </w:pPr>
    </w:p>
    <w:p w14:paraId="02E7CAED" w14:textId="3ABB50AF" w:rsidR="008A7275" w:rsidRPr="00554407" w:rsidRDefault="00554407" w:rsidP="008A7275">
      <w:pPr>
        <w:spacing w:after="0" w:line="240" w:lineRule="auto"/>
        <w:ind w:left="567" w:right="260"/>
        <w:rPr>
          <w:noProof/>
          <w:sz w:val="24"/>
          <w:szCs w:val="24"/>
        </w:rPr>
      </w:pPr>
      <w:r w:rsidRPr="00554407">
        <w:rPr>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w:t>
      </w:r>
      <w:proofErr w:type="gramStart"/>
      <w:r w:rsidRPr="00554407">
        <w:rPr>
          <w:sz w:val="24"/>
          <w:szCs w:val="24"/>
        </w:rPr>
        <w:t>asset(</w:t>
      </w:r>
      <w:proofErr w:type="gramEnd"/>
      <w:r w:rsidRPr="00554407">
        <w:rPr>
          <w:sz w:val="24"/>
          <w:szCs w:val="24"/>
        </w:rPr>
        <w:t>s</w:t>
      </w:r>
      <w:proofErr w:type="gramStart"/>
      <w:r w:rsidRPr="00554407">
        <w:rPr>
          <w:sz w:val="24"/>
          <w:szCs w:val="24"/>
        </w:rPr>
        <w:t>).</w:t>
      </w:r>
      <w:r w:rsidR="008A7275" w:rsidRPr="00554407">
        <w:rPr>
          <w:noProof/>
          <w:sz w:val="24"/>
          <w:szCs w:val="24"/>
        </w:rPr>
        <w:t>.</w:t>
      </w:r>
      <w:proofErr w:type="gramEnd"/>
    </w:p>
    <w:p w14:paraId="1160984E" w14:textId="77777777" w:rsidR="008A7275" w:rsidRPr="00554407" w:rsidRDefault="008A7275" w:rsidP="008A7275">
      <w:pPr>
        <w:spacing w:after="0" w:line="240" w:lineRule="auto"/>
        <w:ind w:left="567" w:right="260"/>
        <w:rPr>
          <w:noProof/>
          <w:sz w:val="24"/>
          <w:szCs w:val="24"/>
        </w:rPr>
      </w:pPr>
    </w:p>
    <w:p w14:paraId="41BF9046" w14:textId="77777777" w:rsidR="008A7275" w:rsidRPr="00554407" w:rsidRDefault="008A7275" w:rsidP="008A7275">
      <w:pPr>
        <w:spacing w:after="0" w:line="240" w:lineRule="auto"/>
        <w:ind w:left="567" w:right="260"/>
        <w:rPr>
          <w:b/>
          <w:bCs/>
          <w:noProof/>
          <w:sz w:val="24"/>
          <w:szCs w:val="24"/>
        </w:rPr>
      </w:pPr>
      <w:r w:rsidRPr="00554407">
        <w:rPr>
          <w:b/>
          <w:bCs/>
          <w:noProof/>
          <w:sz w:val="24"/>
          <w:szCs w:val="24"/>
        </w:rPr>
        <w:t>Impacts and demands</w:t>
      </w:r>
    </w:p>
    <w:p w14:paraId="6D0EB727" w14:textId="77777777" w:rsidR="008A7275" w:rsidRPr="00554407" w:rsidRDefault="008A7275" w:rsidP="008A7275">
      <w:pPr>
        <w:spacing w:after="0" w:line="240" w:lineRule="auto"/>
        <w:ind w:left="567" w:right="260"/>
        <w:rPr>
          <w:noProof/>
          <w:sz w:val="24"/>
          <w:szCs w:val="24"/>
        </w:rPr>
      </w:pPr>
    </w:p>
    <w:p w14:paraId="4459617E" w14:textId="77777777" w:rsidR="00554407" w:rsidRPr="00554407" w:rsidRDefault="00554407" w:rsidP="008A7275">
      <w:pPr>
        <w:spacing w:after="0" w:line="240" w:lineRule="auto"/>
        <w:ind w:left="567" w:right="260"/>
        <w:rPr>
          <w:sz w:val="24"/>
          <w:szCs w:val="24"/>
        </w:rPr>
      </w:pPr>
      <w:r w:rsidRPr="00554407">
        <w:rPr>
          <w:sz w:val="24"/>
          <w:szCs w:val="24"/>
        </w:rPr>
        <w:t xml:space="preserve">Tasks and duties will be generally carried out in a sedentary position but there will always be a requirement for standing and walking from time to time, and the occasional need to lift or carry items. </w:t>
      </w:r>
    </w:p>
    <w:p w14:paraId="2E5791D1" w14:textId="77777777" w:rsidR="00554407" w:rsidRPr="00554407" w:rsidRDefault="00554407" w:rsidP="008A7275">
      <w:pPr>
        <w:spacing w:after="0" w:line="240" w:lineRule="auto"/>
        <w:ind w:left="567" w:right="260"/>
        <w:rPr>
          <w:sz w:val="24"/>
          <w:szCs w:val="24"/>
        </w:rPr>
      </w:pPr>
    </w:p>
    <w:p w14:paraId="3D748AC2" w14:textId="77777777" w:rsidR="00554407" w:rsidRPr="00554407" w:rsidRDefault="00554407" w:rsidP="008A7275">
      <w:pPr>
        <w:spacing w:after="0" w:line="240" w:lineRule="auto"/>
        <w:ind w:left="567" w:right="260"/>
        <w:rPr>
          <w:sz w:val="24"/>
          <w:szCs w:val="24"/>
        </w:rPr>
      </w:pPr>
      <w:r w:rsidRPr="00554407">
        <w:rPr>
          <w:sz w:val="24"/>
          <w:szCs w:val="24"/>
        </w:rPr>
        <w:lastRenderedPageBreak/>
        <w:t xml:space="preserve">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 </w:t>
      </w:r>
    </w:p>
    <w:p w14:paraId="7381824D" w14:textId="77777777" w:rsidR="00554407" w:rsidRPr="00554407" w:rsidRDefault="00554407" w:rsidP="008A7275">
      <w:pPr>
        <w:spacing w:after="0" w:line="240" w:lineRule="auto"/>
        <w:ind w:left="567" w:right="260"/>
        <w:rPr>
          <w:sz w:val="24"/>
          <w:szCs w:val="24"/>
        </w:rPr>
      </w:pPr>
    </w:p>
    <w:p w14:paraId="6151190B" w14:textId="77777777" w:rsidR="00554407" w:rsidRPr="00554407" w:rsidRDefault="00554407" w:rsidP="008A7275">
      <w:pPr>
        <w:spacing w:after="0" w:line="240" w:lineRule="auto"/>
        <w:ind w:left="567" w:right="260"/>
        <w:rPr>
          <w:sz w:val="24"/>
          <w:szCs w:val="24"/>
        </w:rPr>
      </w:pPr>
      <w:r w:rsidRPr="00554407">
        <w:rPr>
          <w:sz w:val="24"/>
          <w:szCs w:val="24"/>
        </w:rPr>
        <w:t xml:space="preserve">Duties of jobs at this level will not require job holders to develop and maintain working relationships with people who, through their circumstances or behaviour, place particular emotional demands on the job holder. </w:t>
      </w:r>
    </w:p>
    <w:p w14:paraId="08B6E186" w14:textId="77777777" w:rsidR="00554407" w:rsidRPr="00554407" w:rsidRDefault="00554407" w:rsidP="008A7275">
      <w:pPr>
        <w:spacing w:after="0" w:line="240" w:lineRule="auto"/>
        <w:ind w:left="567" w:right="260"/>
        <w:rPr>
          <w:sz w:val="24"/>
          <w:szCs w:val="24"/>
        </w:rPr>
      </w:pPr>
    </w:p>
    <w:p w14:paraId="1155FF10" w14:textId="77777777" w:rsidR="00554407" w:rsidRPr="00554407" w:rsidRDefault="00554407" w:rsidP="008A7275">
      <w:pPr>
        <w:spacing w:after="0" w:line="240" w:lineRule="auto"/>
        <w:ind w:left="567" w:right="260"/>
        <w:rPr>
          <w:sz w:val="24"/>
          <w:szCs w:val="24"/>
        </w:rPr>
      </w:pPr>
      <w:r w:rsidRPr="00554407">
        <w:rPr>
          <w:sz w:val="24"/>
          <w:szCs w:val="24"/>
        </w:rPr>
        <w:t xml:space="preserve">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BB58AA8" w14:textId="77777777" w:rsidR="00554407" w:rsidRPr="00554407" w:rsidRDefault="00554407" w:rsidP="008A7275">
      <w:pPr>
        <w:spacing w:after="0" w:line="240" w:lineRule="auto"/>
        <w:ind w:left="567" w:right="260"/>
        <w:rPr>
          <w:sz w:val="24"/>
          <w:szCs w:val="24"/>
        </w:rPr>
      </w:pPr>
    </w:p>
    <w:p w14:paraId="17733D78" w14:textId="2B26D491" w:rsidR="008A7275" w:rsidRPr="00554407" w:rsidRDefault="00554407" w:rsidP="008A7275">
      <w:pPr>
        <w:spacing w:after="0" w:line="240" w:lineRule="auto"/>
        <w:ind w:left="567" w:right="260"/>
        <w:rPr>
          <w:sz w:val="24"/>
          <w:szCs w:val="24"/>
        </w:rPr>
      </w:pPr>
      <w:r w:rsidRPr="00554407">
        <w:rPr>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469C3ABE" w14:textId="77777777" w:rsidR="00554407" w:rsidRPr="00554407" w:rsidRDefault="00554407" w:rsidP="008A7275">
      <w:pPr>
        <w:spacing w:after="0" w:line="240" w:lineRule="auto"/>
        <w:ind w:left="567" w:right="260"/>
        <w:rPr>
          <w:noProof/>
          <w:sz w:val="24"/>
          <w:szCs w:val="24"/>
        </w:rPr>
      </w:pPr>
    </w:p>
    <w:p w14:paraId="035F6419" w14:textId="728660AA" w:rsidR="0017540B" w:rsidRPr="00554407" w:rsidRDefault="0017540B" w:rsidP="008A7275">
      <w:pPr>
        <w:spacing w:after="0" w:line="240" w:lineRule="auto"/>
        <w:ind w:left="567" w:right="260"/>
        <w:rPr>
          <w:noProof/>
          <w:sz w:val="24"/>
          <w:szCs w:val="24"/>
        </w:rPr>
      </w:pPr>
    </w:p>
    <w:sectPr w:rsidR="0017540B" w:rsidRPr="00554407"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08FB" w14:textId="77777777" w:rsidR="00773218" w:rsidRDefault="00773218" w:rsidP="00F45CF3">
      <w:pPr>
        <w:spacing w:after="0" w:line="240" w:lineRule="auto"/>
      </w:pPr>
      <w:r>
        <w:separator/>
      </w:r>
    </w:p>
  </w:endnote>
  <w:endnote w:type="continuationSeparator" w:id="0">
    <w:p w14:paraId="1C524F7D" w14:textId="77777777" w:rsidR="00773218" w:rsidRDefault="00773218" w:rsidP="00F45CF3">
      <w:pPr>
        <w:spacing w:after="0" w:line="240" w:lineRule="auto"/>
      </w:pPr>
      <w:r>
        <w:continuationSeparator/>
      </w:r>
    </w:p>
  </w:endnote>
  <w:endnote w:type="continuationNotice" w:id="1">
    <w:p w14:paraId="15F44432" w14:textId="77777777" w:rsidR="00773218" w:rsidRDefault="00773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0131" w14:textId="77777777" w:rsidR="00773218" w:rsidRDefault="00773218" w:rsidP="00F45CF3">
      <w:pPr>
        <w:spacing w:after="0" w:line="240" w:lineRule="auto"/>
      </w:pPr>
      <w:r>
        <w:separator/>
      </w:r>
    </w:p>
  </w:footnote>
  <w:footnote w:type="continuationSeparator" w:id="0">
    <w:p w14:paraId="7E87FF93" w14:textId="77777777" w:rsidR="00773218" w:rsidRDefault="00773218" w:rsidP="00F45CF3">
      <w:pPr>
        <w:spacing w:after="0" w:line="240" w:lineRule="auto"/>
      </w:pPr>
      <w:r>
        <w:continuationSeparator/>
      </w:r>
    </w:p>
  </w:footnote>
  <w:footnote w:type="continuationNotice" w:id="1">
    <w:p w14:paraId="284E4C60" w14:textId="77777777" w:rsidR="00773218" w:rsidRDefault="00773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826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2273"/>
    <w:rsid w:val="00032728"/>
    <w:rsid w:val="00041CF0"/>
    <w:rsid w:val="000438CD"/>
    <w:rsid w:val="000558FB"/>
    <w:rsid w:val="00062281"/>
    <w:rsid w:val="00074D41"/>
    <w:rsid w:val="00081DF7"/>
    <w:rsid w:val="000C5342"/>
    <w:rsid w:val="000D2837"/>
    <w:rsid w:val="000D3426"/>
    <w:rsid w:val="000E205B"/>
    <w:rsid w:val="001067C5"/>
    <w:rsid w:val="00114788"/>
    <w:rsid w:val="001149A0"/>
    <w:rsid w:val="001164D0"/>
    <w:rsid w:val="0012023B"/>
    <w:rsid w:val="0013620F"/>
    <w:rsid w:val="00142CC7"/>
    <w:rsid w:val="00154570"/>
    <w:rsid w:val="00160678"/>
    <w:rsid w:val="0016309D"/>
    <w:rsid w:val="00163709"/>
    <w:rsid w:val="00165EBC"/>
    <w:rsid w:val="001746E1"/>
    <w:rsid w:val="0017540B"/>
    <w:rsid w:val="00186762"/>
    <w:rsid w:val="0018711D"/>
    <w:rsid w:val="001965A4"/>
    <w:rsid w:val="001C1745"/>
    <w:rsid w:val="001C40EB"/>
    <w:rsid w:val="001C79E6"/>
    <w:rsid w:val="001D6970"/>
    <w:rsid w:val="001F1E18"/>
    <w:rsid w:val="001F4958"/>
    <w:rsid w:val="001F5934"/>
    <w:rsid w:val="00204E21"/>
    <w:rsid w:val="00214A0D"/>
    <w:rsid w:val="002216F3"/>
    <w:rsid w:val="002248CB"/>
    <w:rsid w:val="002318EE"/>
    <w:rsid w:val="0024780A"/>
    <w:rsid w:val="00251B3A"/>
    <w:rsid w:val="00262AD4"/>
    <w:rsid w:val="00267855"/>
    <w:rsid w:val="00272C32"/>
    <w:rsid w:val="002746D0"/>
    <w:rsid w:val="00284DB2"/>
    <w:rsid w:val="00293B2A"/>
    <w:rsid w:val="002945D6"/>
    <w:rsid w:val="00295940"/>
    <w:rsid w:val="002A0980"/>
    <w:rsid w:val="002F4B84"/>
    <w:rsid w:val="00303BE8"/>
    <w:rsid w:val="00324644"/>
    <w:rsid w:val="00324A1B"/>
    <w:rsid w:val="00331C03"/>
    <w:rsid w:val="00334037"/>
    <w:rsid w:val="00344BC7"/>
    <w:rsid w:val="00347175"/>
    <w:rsid w:val="00360902"/>
    <w:rsid w:val="0036192E"/>
    <w:rsid w:val="0037254F"/>
    <w:rsid w:val="00377996"/>
    <w:rsid w:val="00385034"/>
    <w:rsid w:val="00387D3F"/>
    <w:rsid w:val="00391248"/>
    <w:rsid w:val="00393041"/>
    <w:rsid w:val="003A2412"/>
    <w:rsid w:val="003A673A"/>
    <w:rsid w:val="003C2084"/>
    <w:rsid w:val="003C5893"/>
    <w:rsid w:val="003D2F1C"/>
    <w:rsid w:val="003D3C19"/>
    <w:rsid w:val="003D4F55"/>
    <w:rsid w:val="004049DF"/>
    <w:rsid w:val="00407342"/>
    <w:rsid w:val="004173D7"/>
    <w:rsid w:val="004545CB"/>
    <w:rsid w:val="00466206"/>
    <w:rsid w:val="004867A9"/>
    <w:rsid w:val="00487FA6"/>
    <w:rsid w:val="004A4FD4"/>
    <w:rsid w:val="004B27E7"/>
    <w:rsid w:val="004B30AF"/>
    <w:rsid w:val="004B350D"/>
    <w:rsid w:val="004B7C10"/>
    <w:rsid w:val="004B7D82"/>
    <w:rsid w:val="004C16CE"/>
    <w:rsid w:val="004D4300"/>
    <w:rsid w:val="004D6FFC"/>
    <w:rsid w:val="004E0326"/>
    <w:rsid w:val="004E6A6F"/>
    <w:rsid w:val="004F158D"/>
    <w:rsid w:val="00507521"/>
    <w:rsid w:val="00511E1C"/>
    <w:rsid w:val="005156AF"/>
    <w:rsid w:val="00524ECB"/>
    <w:rsid w:val="00525EB5"/>
    <w:rsid w:val="0055227E"/>
    <w:rsid w:val="00554407"/>
    <w:rsid w:val="005614A5"/>
    <w:rsid w:val="00571D69"/>
    <w:rsid w:val="005907E5"/>
    <w:rsid w:val="00592D7C"/>
    <w:rsid w:val="005A37D6"/>
    <w:rsid w:val="005A3E34"/>
    <w:rsid w:val="005D5959"/>
    <w:rsid w:val="005D75C4"/>
    <w:rsid w:val="005E11E0"/>
    <w:rsid w:val="005F2CFE"/>
    <w:rsid w:val="00603BCD"/>
    <w:rsid w:val="006052D8"/>
    <w:rsid w:val="00623D69"/>
    <w:rsid w:val="00633A10"/>
    <w:rsid w:val="00637D75"/>
    <w:rsid w:val="006419F9"/>
    <w:rsid w:val="00643E56"/>
    <w:rsid w:val="00644957"/>
    <w:rsid w:val="0064697A"/>
    <w:rsid w:val="00674F4A"/>
    <w:rsid w:val="00682EC8"/>
    <w:rsid w:val="006A5EB4"/>
    <w:rsid w:val="006C3E21"/>
    <w:rsid w:val="006D7B3F"/>
    <w:rsid w:val="006D7CC1"/>
    <w:rsid w:val="006E12F9"/>
    <w:rsid w:val="006E5EDD"/>
    <w:rsid w:val="00706A7E"/>
    <w:rsid w:val="00711754"/>
    <w:rsid w:val="007201E4"/>
    <w:rsid w:val="0073592B"/>
    <w:rsid w:val="00736173"/>
    <w:rsid w:val="00740952"/>
    <w:rsid w:val="007511EB"/>
    <w:rsid w:val="00757260"/>
    <w:rsid w:val="0076639E"/>
    <w:rsid w:val="00773218"/>
    <w:rsid w:val="00787181"/>
    <w:rsid w:val="00796A6A"/>
    <w:rsid w:val="007A3A95"/>
    <w:rsid w:val="007A59C9"/>
    <w:rsid w:val="007B1B1B"/>
    <w:rsid w:val="007B2BFE"/>
    <w:rsid w:val="007B7D30"/>
    <w:rsid w:val="007D5B8B"/>
    <w:rsid w:val="007D5DF9"/>
    <w:rsid w:val="007E4EA3"/>
    <w:rsid w:val="007F3C0C"/>
    <w:rsid w:val="007F5609"/>
    <w:rsid w:val="0080300A"/>
    <w:rsid w:val="0080317F"/>
    <w:rsid w:val="008042DF"/>
    <w:rsid w:val="00807822"/>
    <w:rsid w:val="00820AFD"/>
    <w:rsid w:val="008347F0"/>
    <w:rsid w:val="008416E5"/>
    <w:rsid w:val="00844611"/>
    <w:rsid w:val="00851843"/>
    <w:rsid w:val="00862796"/>
    <w:rsid w:val="00866550"/>
    <w:rsid w:val="008708B5"/>
    <w:rsid w:val="00871278"/>
    <w:rsid w:val="00876F0D"/>
    <w:rsid w:val="00882F7E"/>
    <w:rsid w:val="00890ABB"/>
    <w:rsid w:val="008A087E"/>
    <w:rsid w:val="008A3763"/>
    <w:rsid w:val="008A7275"/>
    <w:rsid w:val="008B4CF5"/>
    <w:rsid w:val="008B6A35"/>
    <w:rsid w:val="008C190C"/>
    <w:rsid w:val="008E461A"/>
    <w:rsid w:val="008F2B00"/>
    <w:rsid w:val="00932045"/>
    <w:rsid w:val="009330EB"/>
    <w:rsid w:val="0094093A"/>
    <w:rsid w:val="00947292"/>
    <w:rsid w:val="00951BD0"/>
    <w:rsid w:val="00954ED6"/>
    <w:rsid w:val="0095679B"/>
    <w:rsid w:val="009657AB"/>
    <w:rsid w:val="009675BD"/>
    <w:rsid w:val="0097072F"/>
    <w:rsid w:val="009763D4"/>
    <w:rsid w:val="009877E8"/>
    <w:rsid w:val="009914D6"/>
    <w:rsid w:val="009A58DA"/>
    <w:rsid w:val="009D27FE"/>
    <w:rsid w:val="009D67DF"/>
    <w:rsid w:val="009E1D5B"/>
    <w:rsid w:val="009F59B2"/>
    <w:rsid w:val="00A34BCF"/>
    <w:rsid w:val="00A5170B"/>
    <w:rsid w:val="00A55C93"/>
    <w:rsid w:val="00A74C24"/>
    <w:rsid w:val="00A93AC9"/>
    <w:rsid w:val="00AA492E"/>
    <w:rsid w:val="00AB021E"/>
    <w:rsid w:val="00AC24A8"/>
    <w:rsid w:val="00AC797C"/>
    <w:rsid w:val="00AD6D80"/>
    <w:rsid w:val="00AF15A4"/>
    <w:rsid w:val="00AF1785"/>
    <w:rsid w:val="00AF67AC"/>
    <w:rsid w:val="00B01282"/>
    <w:rsid w:val="00B03B56"/>
    <w:rsid w:val="00B0528E"/>
    <w:rsid w:val="00B11C31"/>
    <w:rsid w:val="00B12CDE"/>
    <w:rsid w:val="00B25BB6"/>
    <w:rsid w:val="00B350BA"/>
    <w:rsid w:val="00B376B4"/>
    <w:rsid w:val="00B41F72"/>
    <w:rsid w:val="00B577AC"/>
    <w:rsid w:val="00B6645B"/>
    <w:rsid w:val="00B70491"/>
    <w:rsid w:val="00B73D5B"/>
    <w:rsid w:val="00B8508A"/>
    <w:rsid w:val="00B86474"/>
    <w:rsid w:val="00BB5063"/>
    <w:rsid w:val="00BD2663"/>
    <w:rsid w:val="00BD4096"/>
    <w:rsid w:val="00BE04DC"/>
    <w:rsid w:val="00BE5651"/>
    <w:rsid w:val="00BE750A"/>
    <w:rsid w:val="00BF6D0A"/>
    <w:rsid w:val="00C12D0C"/>
    <w:rsid w:val="00C20E4D"/>
    <w:rsid w:val="00C22C3B"/>
    <w:rsid w:val="00C27034"/>
    <w:rsid w:val="00C2766C"/>
    <w:rsid w:val="00C3116F"/>
    <w:rsid w:val="00C3709C"/>
    <w:rsid w:val="00C42EE5"/>
    <w:rsid w:val="00C432C6"/>
    <w:rsid w:val="00C577BE"/>
    <w:rsid w:val="00C73B3F"/>
    <w:rsid w:val="00C759E0"/>
    <w:rsid w:val="00C8756F"/>
    <w:rsid w:val="00C878AD"/>
    <w:rsid w:val="00C94B65"/>
    <w:rsid w:val="00CB2D31"/>
    <w:rsid w:val="00CD5B21"/>
    <w:rsid w:val="00CD6C03"/>
    <w:rsid w:val="00CD7135"/>
    <w:rsid w:val="00CE09CA"/>
    <w:rsid w:val="00CE14F7"/>
    <w:rsid w:val="00CE775F"/>
    <w:rsid w:val="00CF6C66"/>
    <w:rsid w:val="00D12B22"/>
    <w:rsid w:val="00D24BC4"/>
    <w:rsid w:val="00D2532E"/>
    <w:rsid w:val="00D36B89"/>
    <w:rsid w:val="00D45C4B"/>
    <w:rsid w:val="00D52985"/>
    <w:rsid w:val="00D54E92"/>
    <w:rsid w:val="00D552A4"/>
    <w:rsid w:val="00D56377"/>
    <w:rsid w:val="00D61620"/>
    <w:rsid w:val="00D619B0"/>
    <w:rsid w:val="00D63F16"/>
    <w:rsid w:val="00D74CE9"/>
    <w:rsid w:val="00D76F0C"/>
    <w:rsid w:val="00D83F01"/>
    <w:rsid w:val="00D846B5"/>
    <w:rsid w:val="00D86266"/>
    <w:rsid w:val="00D91D0A"/>
    <w:rsid w:val="00D9351C"/>
    <w:rsid w:val="00DA6D4A"/>
    <w:rsid w:val="00DA73BA"/>
    <w:rsid w:val="00DC1160"/>
    <w:rsid w:val="00DD13A1"/>
    <w:rsid w:val="00DE26A9"/>
    <w:rsid w:val="00DF6965"/>
    <w:rsid w:val="00E12DD9"/>
    <w:rsid w:val="00E17422"/>
    <w:rsid w:val="00E227ED"/>
    <w:rsid w:val="00E31DA9"/>
    <w:rsid w:val="00E32DDE"/>
    <w:rsid w:val="00E40EE0"/>
    <w:rsid w:val="00E44FEA"/>
    <w:rsid w:val="00E55036"/>
    <w:rsid w:val="00E730B5"/>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60FDA"/>
    <w:rsid w:val="00F65C30"/>
    <w:rsid w:val="00F70F28"/>
    <w:rsid w:val="00F74660"/>
    <w:rsid w:val="00F864AF"/>
    <w:rsid w:val="00F93879"/>
    <w:rsid w:val="00F97010"/>
    <w:rsid w:val="00FA0AA9"/>
    <w:rsid w:val="00FA66D2"/>
    <w:rsid w:val="00FA79B6"/>
    <w:rsid w:val="00FB7402"/>
    <w:rsid w:val="00FC5C8E"/>
    <w:rsid w:val="00FC6CAC"/>
    <w:rsid w:val="00FD0BD7"/>
    <w:rsid w:val="00FD1F13"/>
    <w:rsid w:val="00FE118A"/>
    <w:rsid w:val="00FE6139"/>
    <w:rsid w:val="00FF1430"/>
    <w:rsid w:val="00FF1590"/>
    <w:rsid w:val="00FF7032"/>
    <w:rsid w:val="027773B7"/>
    <w:rsid w:val="0389E892"/>
    <w:rsid w:val="0E40574B"/>
    <w:rsid w:val="123BA5C6"/>
    <w:rsid w:val="12FC0573"/>
    <w:rsid w:val="14F49FE3"/>
    <w:rsid w:val="15347BFC"/>
    <w:rsid w:val="16F34B5B"/>
    <w:rsid w:val="17502779"/>
    <w:rsid w:val="18647F9F"/>
    <w:rsid w:val="198C5B65"/>
    <w:rsid w:val="1A17E136"/>
    <w:rsid w:val="1BB18870"/>
    <w:rsid w:val="1E4240C3"/>
    <w:rsid w:val="27A964E0"/>
    <w:rsid w:val="2C77BA2E"/>
    <w:rsid w:val="2CE154E2"/>
    <w:rsid w:val="2F6ED85B"/>
    <w:rsid w:val="314B3B1E"/>
    <w:rsid w:val="339AF45B"/>
    <w:rsid w:val="3528CC1C"/>
    <w:rsid w:val="3A5E6366"/>
    <w:rsid w:val="3BE4A73B"/>
    <w:rsid w:val="3C788E32"/>
    <w:rsid w:val="3D9D543F"/>
    <w:rsid w:val="3DD8D5E5"/>
    <w:rsid w:val="3FE53E33"/>
    <w:rsid w:val="467BDFE5"/>
    <w:rsid w:val="474CAB2B"/>
    <w:rsid w:val="489984AC"/>
    <w:rsid w:val="48F4C820"/>
    <w:rsid w:val="49C697AF"/>
    <w:rsid w:val="4A93EDE5"/>
    <w:rsid w:val="4C61405A"/>
    <w:rsid w:val="4CA82747"/>
    <w:rsid w:val="4D74B223"/>
    <w:rsid w:val="4FE13078"/>
    <w:rsid w:val="50597BA3"/>
    <w:rsid w:val="53996722"/>
    <w:rsid w:val="55CCB034"/>
    <w:rsid w:val="57ABD427"/>
    <w:rsid w:val="58FB40F6"/>
    <w:rsid w:val="5A551C04"/>
    <w:rsid w:val="5DBA9512"/>
    <w:rsid w:val="64E64355"/>
    <w:rsid w:val="6CB52EBD"/>
    <w:rsid w:val="6D00F1CD"/>
    <w:rsid w:val="6D6647BB"/>
    <w:rsid w:val="6ED085DC"/>
    <w:rsid w:val="6F415DF9"/>
    <w:rsid w:val="6FC96064"/>
    <w:rsid w:val="714EF7E4"/>
    <w:rsid w:val="736655EA"/>
    <w:rsid w:val="75224E50"/>
    <w:rsid w:val="75666536"/>
    <w:rsid w:val="7925A9DD"/>
    <w:rsid w:val="7C88F9DF"/>
    <w:rsid w:val="7D138A84"/>
    <w:rsid w:val="7D1AA0E3"/>
    <w:rsid w:val="7D4C5FFC"/>
    <w:rsid w:val="7DB3252A"/>
    <w:rsid w:val="7E6A8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25B77A91-9833-4F90-AE6D-1A7B2787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A0980"/>
    <w:rPr>
      <w:kern w:val="0"/>
      <w:sz w:val="22"/>
      <w:szCs w:val="22"/>
      <w14:ligatures w14:val="none"/>
    </w:rPr>
  </w:style>
  <w:style w:type="character" w:customStyle="1" w:styleId="normaltextrun">
    <w:name w:val="normaltextrun"/>
    <w:basedOn w:val="DefaultParagraphFont"/>
    <w:rsid w:val="002A0980"/>
  </w:style>
  <w:style w:type="character" w:customStyle="1" w:styleId="eop">
    <w:name w:val="eop"/>
    <w:basedOn w:val="DefaultParagraphFont"/>
    <w:rsid w:val="00F65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2469B559-3931-4092-8C42-8E06609F48F7}">
  <ds:schemaRefs>
    <ds:schemaRef ds:uri="http://schemas.openxmlformats.org/officeDocument/2006/bibliography"/>
  </ds:schemaRefs>
</ds:datastoreItem>
</file>

<file path=customXml/itemProps3.xml><?xml version="1.0" encoding="utf-8"?>
<ds:datastoreItem xmlns:ds="http://schemas.openxmlformats.org/officeDocument/2006/customXml" ds:itemID="{9A944C6E-9F88-4389-848C-C82EA1D3781E}"/>
</file>

<file path=customXml/itemProps4.xml><?xml version="1.0" encoding="utf-8"?>
<ds:datastoreItem xmlns:ds="http://schemas.openxmlformats.org/officeDocument/2006/customXml" ds:itemID="{5FC933EE-953F-4432-B625-EA25E6EDE652}">
  <ds:schemaRefs>
    <ds:schemaRef ds:uri="http://schemas.microsoft.com/office/2006/metadata/properties"/>
    <ds:schemaRef ds:uri="http://schemas.microsoft.com/office/infopath/2007/PartnerControls"/>
    <ds:schemaRef ds:uri="3ff1bb03-57c4-450c-9843-95226b654018"/>
  </ds:schemaRefs>
</ds:datastoreItem>
</file>

<file path=customXml/itemProps5.xml><?xml version="1.0" encoding="utf-8"?>
<ds:datastoreItem xmlns:ds="http://schemas.openxmlformats.org/officeDocument/2006/customXml" ds:itemID="{B9FD770E-9F98-4CD2-B775-42A3D02726E4}"/>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9183</Characters>
  <Application>Microsoft Office Word</Application>
  <DocSecurity>0</DocSecurity>
  <Lines>218</Lines>
  <Paragraphs>110</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Abigail Sanders</cp:lastModifiedBy>
  <cp:revision>2</cp:revision>
  <cp:lastPrinted>2024-04-12T17:00:00Z</cp:lastPrinted>
  <dcterms:created xsi:type="dcterms:W3CDTF">2026-03-24T08:33:00Z</dcterms:created>
  <dcterms:modified xsi:type="dcterms:W3CDTF">2026-03-24T08:33:00Z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