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23175377">
        <w:rPr>
          <w:rFonts w:ascii="Amasis MT Pro Black" w:hAnsi="Amasis MT Pro Black"/>
          <w:sz w:val="32"/>
          <w:szCs w:val="32"/>
        </w:rPr>
        <w:t>Role profile</w:t>
      </w:r>
    </w:p>
    <w:p w14:paraId="7483D95D" w14:textId="529DC27C" w:rsidR="0017540B" w:rsidRDefault="0050205A" w:rsidP="00C577BE">
      <w:pPr>
        <w:spacing w:after="100" w:line="240" w:lineRule="auto"/>
        <w:ind w:left="567" w:right="118"/>
        <w:contextualSpacing/>
        <w:rPr>
          <w:b/>
          <w:bCs/>
          <w:sz w:val="32"/>
          <w:szCs w:val="32"/>
        </w:rPr>
      </w:pPr>
      <w:r w:rsidRPr="0050205A">
        <w:rPr>
          <w:rFonts w:ascii="Amasis MT Pro Black" w:hAnsi="Amasis MT Pro Black"/>
          <w:b/>
          <w:bCs/>
          <w:color w:val="008796"/>
          <w:sz w:val="48"/>
          <w:szCs w:val="48"/>
        </w:rPr>
        <w:t>Supply and Acquisitions</w:t>
      </w:r>
      <w:r>
        <w:rPr>
          <w:rFonts w:ascii="Amasis MT Pro Black" w:hAnsi="Amasis MT Pro Black"/>
          <w:b/>
          <w:bCs/>
          <w:color w:val="008796"/>
          <w:sz w:val="48"/>
          <w:szCs w:val="48"/>
        </w:rPr>
        <w:t xml:space="preserve"> </w:t>
      </w:r>
      <w:r w:rsidRPr="0050205A">
        <w:rPr>
          <w:rFonts w:ascii="Amasis MT Pro Black" w:hAnsi="Amasis MT Pro Black"/>
          <w:b/>
          <w:bCs/>
          <w:color w:val="008796"/>
          <w:sz w:val="48"/>
          <w:szCs w:val="48"/>
        </w:rPr>
        <w:t>Support Officer</w:t>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317537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4FB1C68" w:rsidR="00844611" w:rsidRPr="001F4958" w:rsidRDefault="003414C2" w:rsidP="23175377">
            <w:pPr>
              <w:spacing w:after="0" w:line="240" w:lineRule="auto"/>
              <w:ind w:right="118"/>
              <w:contextualSpacing/>
              <w:rPr>
                <w:noProof/>
                <w:sz w:val="24"/>
                <w:szCs w:val="24"/>
              </w:rPr>
            </w:pPr>
            <w:r>
              <w:rPr>
                <w:noProof/>
                <w:sz w:val="24"/>
                <w:szCs w:val="24"/>
              </w:rPr>
              <w:t>Adult Services</w:t>
            </w:r>
          </w:p>
        </w:tc>
      </w:tr>
      <w:tr w:rsidR="00844611" w:rsidRPr="001F4958" w14:paraId="30526493" w14:textId="77777777" w:rsidTr="2317537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4499B85" w:rsidR="00844611" w:rsidRPr="001F4958" w:rsidRDefault="003414C2" w:rsidP="23175377">
            <w:pPr>
              <w:spacing w:after="0" w:line="240" w:lineRule="auto"/>
              <w:ind w:right="118"/>
              <w:contextualSpacing/>
              <w:rPr>
                <w:noProof/>
                <w:sz w:val="24"/>
                <w:szCs w:val="24"/>
              </w:rPr>
            </w:pPr>
            <w:r>
              <w:rPr>
                <w:noProof/>
                <w:sz w:val="24"/>
                <w:szCs w:val="24"/>
              </w:rPr>
              <w:t xml:space="preserve">Senior Officer – Supply and Acquisitions </w:t>
            </w:r>
          </w:p>
        </w:tc>
      </w:tr>
      <w:tr w:rsidR="00844611" w:rsidRPr="001F4958" w14:paraId="5E47E8CA" w14:textId="77777777" w:rsidTr="2317537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317537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9998025" w:rsidR="00844611" w:rsidRPr="001F4958" w:rsidRDefault="430CC2A5" w:rsidP="23175377">
            <w:pPr>
              <w:spacing w:after="0" w:line="240" w:lineRule="auto"/>
              <w:ind w:right="118"/>
              <w:contextualSpacing/>
              <w:rPr>
                <w:noProof/>
                <w:sz w:val="24"/>
                <w:szCs w:val="24"/>
              </w:rPr>
            </w:pPr>
            <w:r w:rsidRPr="23175377">
              <w:rPr>
                <w:noProof/>
                <w:sz w:val="24"/>
                <w:szCs w:val="24"/>
              </w:rPr>
              <w:t>D</w:t>
            </w:r>
          </w:p>
        </w:tc>
      </w:tr>
      <w:tr w:rsidR="00844611" w:rsidRPr="001F4958" w14:paraId="7DCBB216" w14:textId="77777777" w:rsidTr="2317537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FE56CFD" w:rsidR="00844611" w:rsidRPr="001F4958" w:rsidRDefault="0D312726" w:rsidP="23175377">
            <w:pPr>
              <w:spacing w:after="0" w:line="240" w:lineRule="auto"/>
              <w:ind w:right="118"/>
              <w:contextualSpacing/>
              <w:rPr>
                <w:noProof/>
                <w:sz w:val="24"/>
                <w:szCs w:val="24"/>
              </w:rPr>
            </w:pPr>
            <w:r w:rsidRPr="23175377">
              <w:rPr>
                <w:noProof/>
                <w:sz w:val="24"/>
                <w:szCs w:val="24"/>
              </w:rPr>
              <w:t>N</w:t>
            </w:r>
          </w:p>
        </w:tc>
      </w:tr>
      <w:tr w:rsidR="004B27E7" w:rsidRPr="001F4958" w14:paraId="4FD2C8EE" w14:textId="77777777" w:rsidTr="2317537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0A211ED" w:rsidR="004B27E7" w:rsidRPr="001F4958" w:rsidRDefault="7EC280D0" w:rsidP="23175377">
            <w:pPr>
              <w:spacing w:after="0" w:line="240" w:lineRule="auto"/>
              <w:ind w:right="118"/>
              <w:contextualSpacing/>
              <w:rPr>
                <w:rFonts w:ascii="Calibri" w:eastAsia="Calibri" w:hAnsi="Calibri" w:cs="Calibri"/>
                <w:noProof/>
                <w:color w:val="000000" w:themeColor="text1"/>
                <w:sz w:val="24"/>
                <w:szCs w:val="24"/>
              </w:rPr>
            </w:pPr>
            <w:r w:rsidRPr="23175377">
              <w:rPr>
                <w:rFonts w:ascii="Calibri" w:eastAsia="Calibri" w:hAnsi="Calibri" w:cs="Calibri"/>
                <w:color w:val="000000" w:themeColor="text1"/>
                <w:sz w:val="24"/>
                <w:szCs w:val="24"/>
              </w:rPr>
              <w:t xml:space="preserve">Y – basic </w:t>
            </w:r>
          </w:p>
        </w:tc>
      </w:tr>
      <w:tr w:rsidR="00B86474" w:rsidRPr="001F4958" w14:paraId="32A5D7AC" w14:textId="77777777" w:rsidTr="23175377">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FF34A96" w:rsidR="00B86474" w:rsidRPr="001F4958" w:rsidRDefault="0050205A" w:rsidP="23175377">
            <w:pPr>
              <w:spacing w:after="0" w:line="240" w:lineRule="auto"/>
              <w:ind w:right="118"/>
              <w:contextualSpacing/>
              <w:rPr>
                <w:noProof/>
                <w:sz w:val="24"/>
                <w:szCs w:val="24"/>
              </w:rPr>
            </w:pPr>
            <w:r>
              <w:rPr>
                <w:noProof/>
                <w:sz w:val="24"/>
                <w:szCs w:val="24"/>
              </w:rPr>
              <w:t>July</w:t>
            </w:r>
            <w:r w:rsidR="4B526013" w:rsidRPr="23175377">
              <w:rPr>
                <w:noProof/>
                <w:sz w:val="24"/>
                <w:szCs w:val="24"/>
              </w:rPr>
              <w:t xml:space="preserve"> </w:t>
            </w:r>
            <w:r>
              <w:rPr>
                <w:noProof/>
                <w:sz w:val="24"/>
                <w:szCs w:val="24"/>
              </w:rPr>
              <w:t>2025</w:t>
            </w:r>
          </w:p>
        </w:tc>
      </w:tr>
      <w:tr w:rsidR="00844611" w:rsidRPr="001F4958" w14:paraId="0E487A16" w14:textId="77777777" w:rsidTr="2317537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1513A92" w:rsidR="00844611" w:rsidRPr="001F4958" w:rsidRDefault="2E3FAF0A" w:rsidP="23175377">
            <w:pPr>
              <w:spacing w:after="0" w:line="240" w:lineRule="auto"/>
              <w:ind w:right="118"/>
              <w:contextualSpacing/>
              <w:rPr>
                <w:noProof/>
                <w:sz w:val="24"/>
                <w:szCs w:val="24"/>
              </w:rPr>
            </w:pPr>
            <w:r w:rsidRPr="23175377">
              <w:rPr>
                <w:noProof/>
                <w:sz w:val="24"/>
                <w:szCs w:val="24"/>
              </w:rPr>
              <w:t>JE</w:t>
            </w:r>
            <w:r w:rsidR="0050205A">
              <w:rPr>
                <w:noProof/>
                <w:sz w:val="24"/>
                <w:szCs w:val="24"/>
              </w:rPr>
              <w:t>2103</w:t>
            </w: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23175377">
        <w:trPr>
          <w:trHeight w:val="300"/>
        </w:trPr>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40BD93EF" w14:textId="170C9113" w:rsidR="23175377" w:rsidRDefault="0050205A" w:rsidP="23175377">
            <w:pPr>
              <w:spacing w:after="0" w:line="240" w:lineRule="auto"/>
              <w:ind w:right="118"/>
              <w:contextualSpacing/>
              <w:rPr>
                <w:rFonts w:ascii="Calibri" w:eastAsia="Calibri" w:hAnsi="Calibri" w:cs="Calibri"/>
                <w:color w:val="000000" w:themeColor="text1"/>
                <w:sz w:val="24"/>
                <w:szCs w:val="24"/>
              </w:rPr>
            </w:pPr>
            <w:r w:rsidRPr="00B37122">
              <w:t>To provide outstanding, customer-</w:t>
            </w:r>
            <w:proofErr w:type="gramStart"/>
            <w:r w:rsidRPr="00B37122">
              <w:t>focussed</w:t>
            </w:r>
            <w:proofErr w:type="gramEnd"/>
            <w:r w:rsidRPr="00B37122">
              <w:t xml:space="preserve"> and efficient service to </w:t>
            </w:r>
            <w:r>
              <w:t xml:space="preserve">external </w:t>
            </w:r>
            <w:r w:rsidRPr="00B37122">
              <w:t xml:space="preserve">customers, supporting </w:t>
            </w:r>
            <w:r>
              <w:t>the full Supply and Acquisitions service to achieve high performance and be responsible for providing operational support to this service.</w:t>
            </w:r>
          </w:p>
        </w:tc>
      </w:tr>
      <w:tr w:rsidR="000D2837" w14:paraId="1175A00B" w14:textId="77777777" w:rsidTr="23175377">
        <w:trPr>
          <w:trHeight w:val="300"/>
        </w:trPr>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3EBBE544" w14:textId="367378E7" w:rsidR="23175377" w:rsidRDefault="0050205A" w:rsidP="23175377">
            <w:pPr>
              <w:spacing w:after="0" w:line="240" w:lineRule="auto"/>
              <w:ind w:right="118"/>
              <w:contextualSpacing/>
              <w:rPr>
                <w:rFonts w:ascii="Calibri" w:eastAsia="Calibri" w:hAnsi="Calibri" w:cs="Calibri"/>
                <w:color w:val="000000" w:themeColor="text1"/>
                <w:sz w:val="24"/>
                <w:szCs w:val="24"/>
              </w:rPr>
            </w:pPr>
            <w:r w:rsidRPr="00B37122">
              <w:t xml:space="preserve">To be responsible for carrying out the full range of duties to support </w:t>
            </w:r>
            <w:r>
              <w:t>colleagues in Supply and Acquisitions, including compiling reports, updating relevant systems, managing the email and digital aspect of the service, arranging communication plans set by the Service Manager, diary management.</w:t>
            </w:r>
          </w:p>
        </w:tc>
      </w:tr>
      <w:tr w:rsidR="000D2837" w14:paraId="52DB8D7D" w14:textId="77777777" w:rsidTr="23175377">
        <w:trPr>
          <w:trHeight w:val="300"/>
        </w:trPr>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39B7CE78" w14:textId="7DE08701" w:rsidR="23175377" w:rsidRDefault="0050205A" w:rsidP="23175377">
            <w:pPr>
              <w:spacing w:after="0" w:line="240" w:lineRule="auto"/>
              <w:ind w:right="118"/>
              <w:contextualSpacing/>
              <w:rPr>
                <w:rFonts w:ascii="Calibri" w:eastAsia="Calibri" w:hAnsi="Calibri" w:cs="Calibri"/>
                <w:color w:val="000000" w:themeColor="text1"/>
                <w:sz w:val="24"/>
                <w:szCs w:val="24"/>
              </w:rPr>
            </w:pPr>
            <w:r>
              <w:t>Ensuring that all HHSRS inspections are diarised, completed and systems are updated effectively and in real time.</w:t>
            </w:r>
          </w:p>
        </w:tc>
      </w:tr>
      <w:tr w:rsidR="000D2837" w14:paraId="41071A23" w14:textId="77777777" w:rsidTr="23175377">
        <w:trPr>
          <w:trHeight w:val="300"/>
        </w:trPr>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31B5F1C5" w14:textId="0EEC4E01" w:rsidR="23175377" w:rsidRDefault="0050205A" w:rsidP="23175377">
            <w:pPr>
              <w:spacing w:after="0" w:line="240" w:lineRule="auto"/>
              <w:ind w:right="118"/>
              <w:contextualSpacing/>
              <w:rPr>
                <w:rFonts w:ascii="Calibri" w:eastAsia="Calibri" w:hAnsi="Calibri" w:cs="Calibri"/>
                <w:color w:val="000000" w:themeColor="text1"/>
                <w:sz w:val="24"/>
                <w:szCs w:val="24"/>
              </w:rPr>
            </w:pPr>
            <w:r w:rsidRPr="00B37122">
              <w:t xml:space="preserve">Providing advice and information to </w:t>
            </w:r>
            <w:r>
              <w:t xml:space="preserve">external </w:t>
            </w:r>
            <w:r w:rsidRPr="00B37122">
              <w:t xml:space="preserve">customers so they understand </w:t>
            </w:r>
            <w:r>
              <w:t>the types of incentives and plans available to them.</w:t>
            </w:r>
          </w:p>
        </w:tc>
      </w:tr>
      <w:tr w:rsidR="000D2837" w14:paraId="1AFB009D" w14:textId="77777777" w:rsidTr="23175377">
        <w:trPr>
          <w:trHeight w:val="300"/>
        </w:trPr>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563BD48" w:rsidR="000D2837" w:rsidRPr="001B215B" w:rsidRDefault="0050205A" w:rsidP="001B215B">
            <w:pPr>
              <w:pStyle w:val="BodyText"/>
            </w:pPr>
            <w:r w:rsidRPr="00B37122">
              <w:t xml:space="preserve">To work collaboratively with </w:t>
            </w:r>
            <w:r>
              <w:t>allocations</w:t>
            </w:r>
            <w:r w:rsidRPr="00B37122">
              <w:t xml:space="preserve"> colleagues and anti-social behaviour colleagues as well as internal colleagues in Housing</w:t>
            </w:r>
            <w:r>
              <w:t xml:space="preserve"> Solutions</w:t>
            </w:r>
            <w:r w:rsidRPr="00B37122">
              <w:t>, Adult</w:t>
            </w:r>
            <w:r>
              <w:t xml:space="preserve">, </w:t>
            </w:r>
            <w:r w:rsidRPr="00B37122">
              <w:t xml:space="preserve">Children’s </w:t>
            </w:r>
            <w:proofErr w:type="gramStart"/>
            <w:r w:rsidRPr="00B37122">
              <w:t>Services</w:t>
            </w:r>
            <w:proofErr w:type="gramEnd"/>
            <w:r w:rsidRPr="00B37122">
              <w:t xml:space="preserve"> and external stakeholders including registered providers and private sector landlords.</w:t>
            </w:r>
          </w:p>
        </w:tc>
      </w:tr>
      <w:tr w:rsidR="000D2837" w14:paraId="4D030043" w14:textId="77777777" w:rsidTr="23175377">
        <w:trPr>
          <w:trHeight w:val="300"/>
        </w:trPr>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488EAC01" w:rsidR="000D2837" w:rsidRPr="001B215B" w:rsidRDefault="0050205A" w:rsidP="001B215B">
            <w:pPr>
              <w:pStyle w:val="BodyText"/>
            </w:pPr>
            <w:r w:rsidRPr="00B37122">
              <w:t xml:space="preserve">Consider applicants support needs and associated risks, escalating as required and making appropriate referrals, such as safeguarding </w:t>
            </w:r>
            <w:r>
              <w:t>or safety aspects.</w:t>
            </w:r>
          </w:p>
        </w:tc>
      </w:tr>
      <w:tr w:rsidR="00FA17D1" w14:paraId="637C10E3" w14:textId="77777777" w:rsidTr="23175377">
        <w:trPr>
          <w:trHeight w:val="300"/>
        </w:trPr>
        <w:tc>
          <w:tcPr>
            <w:tcW w:w="456" w:type="dxa"/>
          </w:tcPr>
          <w:p w14:paraId="7E9AA368" w14:textId="2A6634BC" w:rsidR="00FA17D1" w:rsidRPr="000D2837" w:rsidRDefault="00FA17D1" w:rsidP="00C577BE">
            <w:pPr>
              <w:spacing w:after="0" w:line="240" w:lineRule="auto"/>
              <w:ind w:right="118"/>
              <w:rPr>
                <w:b/>
                <w:bCs/>
                <w:sz w:val="24"/>
                <w:szCs w:val="24"/>
              </w:rPr>
            </w:pPr>
            <w:r>
              <w:rPr>
                <w:b/>
                <w:bCs/>
                <w:sz w:val="24"/>
                <w:szCs w:val="24"/>
              </w:rPr>
              <w:t>7</w:t>
            </w:r>
          </w:p>
        </w:tc>
        <w:tc>
          <w:tcPr>
            <w:tcW w:w="9072" w:type="dxa"/>
          </w:tcPr>
          <w:p w14:paraId="0D7BDA8D" w14:textId="2C0B943F" w:rsidR="00FA17D1" w:rsidRPr="001B215B" w:rsidRDefault="0050205A" w:rsidP="001B215B">
            <w:pPr>
              <w:pStyle w:val="BodyText"/>
            </w:pPr>
            <w:r w:rsidRPr="003808B1">
              <w:rPr>
                <w:rFonts w:cstheme="minorHAnsi"/>
                <w:color w:val="000000" w:themeColor="text1"/>
              </w:rPr>
              <w:t xml:space="preserve">Maintaining thorough up to </w:t>
            </w:r>
            <w:r>
              <w:rPr>
                <w:rFonts w:cstheme="minorHAnsi"/>
                <w:color w:val="000000" w:themeColor="text1"/>
              </w:rPr>
              <w:t>date system logs.</w:t>
            </w:r>
          </w:p>
        </w:tc>
      </w:tr>
      <w:tr w:rsidR="00FA17D1" w14:paraId="03172800" w14:textId="77777777" w:rsidTr="23175377">
        <w:trPr>
          <w:trHeight w:val="300"/>
        </w:trPr>
        <w:tc>
          <w:tcPr>
            <w:tcW w:w="456" w:type="dxa"/>
          </w:tcPr>
          <w:p w14:paraId="56E8D0AC" w14:textId="2E01D4A3" w:rsidR="00FA17D1" w:rsidRPr="000D2837" w:rsidRDefault="00FA17D1" w:rsidP="00C577BE">
            <w:pPr>
              <w:spacing w:after="0" w:line="240" w:lineRule="auto"/>
              <w:ind w:right="118"/>
              <w:rPr>
                <w:b/>
                <w:bCs/>
                <w:sz w:val="24"/>
                <w:szCs w:val="24"/>
              </w:rPr>
            </w:pPr>
            <w:r>
              <w:rPr>
                <w:b/>
                <w:bCs/>
                <w:sz w:val="24"/>
                <w:szCs w:val="24"/>
              </w:rPr>
              <w:t>8</w:t>
            </w:r>
          </w:p>
        </w:tc>
        <w:tc>
          <w:tcPr>
            <w:tcW w:w="9072" w:type="dxa"/>
          </w:tcPr>
          <w:p w14:paraId="3C9A3605" w14:textId="0F6E90AC" w:rsidR="00FA17D1" w:rsidRPr="001B215B" w:rsidRDefault="0050205A" w:rsidP="001B215B">
            <w:pPr>
              <w:pStyle w:val="BodyText"/>
            </w:pPr>
            <w:r>
              <w:rPr>
                <w:rFonts w:cstheme="minorHAnsi"/>
                <w:color w:val="000000" w:themeColor="text1"/>
              </w:rPr>
              <w:t>Monitoring risks, understanding how and when to escalate these to line management and ensuring any new risk identified is reported and included in risk assessments and risk management plans.</w:t>
            </w:r>
          </w:p>
        </w:tc>
      </w:tr>
      <w:tr w:rsidR="0050205A" w14:paraId="72F226F4" w14:textId="77777777" w:rsidTr="23175377">
        <w:trPr>
          <w:trHeight w:val="300"/>
        </w:trPr>
        <w:tc>
          <w:tcPr>
            <w:tcW w:w="456" w:type="dxa"/>
          </w:tcPr>
          <w:p w14:paraId="3039A35D" w14:textId="4ECD4D76" w:rsidR="0050205A" w:rsidRDefault="0050205A" w:rsidP="00C577BE">
            <w:pPr>
              <w:spacing w:after="0" w:line="240" w:lineRule="auto"/>
              <w:ind w:right="118"/>
              <w:rPr>
                <w:b/>
                <w:bCs/>
                <w:sz w:val="24"/>
                <w:szCs w:val="24"/>
              </w:rPr>
            </w:pPr>
            <w:r>
              <w:rPr>
                <w:b/>
                <w:bCs/>
                <w:sz w:val="24"/>
                <w:szCs w:val="24"/>
              </w:rPr>
              <w:t>9</w:t>
            </w:r>
          </w:p>
        </w:tc>
        <w:tc>
          <w:tcPr>
            <w:tcW w:w="9072" w:type="dxa"/>
          </w:tcPr>
          <w:p w14:paraId="2E3CF0E4" w14:textId="11E53629" w:rsidR="0050205A" w:rsidRPr="001B215B" w:rsidRDefault="0050205A" w:rsidP="001B215B">
            <w:pPr>
              <w:pStyle w:val="BodyText"/>
            </w:pPr>
            <w:r>
              <w:rPr>
                <w:rFonts w:cstheme="minorHAnsi"/>
                <w:color w:val="000000" w:themeColor="text1"/>
              </w:rPr>
              <w:t>Development of strong empathic professional relationships with external and internal customers, working with all officers to manage complex situations.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9F77077" w14:textId="77777777" w:rsidR="0050205A" w:rsidRDefault="0050205A" w:rsidP="00C577BE">
      <w:pPr>
        <w:spacing w:after="0" w:line="240" w:lineRule="auto"/>
        <w:ind w:left="567" w:right="118"/>
        <w:rPr>
          <w:sz w:val="24"/>
          <w:szCs w:val="24"/>
        </w:rPr>
      </w:pPr>
    </w:p>
    <w:p w14:paraId="52293E1A" w14:textId="77777777" w:rsidR="0050205A" w:rsidRDefault="0050205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23175377">
        <w:trPr>
          <w:trHeight w:val="300"/>
        </w:trPr>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732F4214" w:rsidR="00C577BE" w:rsidRDefault="0050205A" w:rsidP="00E46B64">
            <w:pPr>
              <w:spacing w:after="0" w:line="240" w:lineRule="auto"/>
              <w:ind w:right="118"/>
              <w:jc w:val="both"/>
              <w:rPr>
                <w:sz w:val="24"/>
                <w:szCs w:val="24"/>
              </w:rPr>
            </w:pPr>
            <w:r w:rsidRPr="003831C5">
              <w:rPr>
                <w:rFonts w:cstheme="minorHAnsi"/>
              </w:rPr>
              <w:t xml:space="preserve">Understanding of the legislative frameworks and statutory requirements relating to the </w:t>
            </w:r>
            <w:r>
              <w:rPr>
                <w:rFonts w:cstheme="minorHAnsi"/>
              </w:rPr>
              <w:t>Commissioning and Supply and Acquisitions.</w:t>
            </w:r>
          </w:p>
        </w:tc>
      </w:tr>
      <w:tr w:rsidR="00C577BE" w14:paraId="30609FB5" w14:textId="77777777" w:rsidTr="23175377">
        <w:trPr>
          <w:trHeight w:val="300"/>
        </w:trPr>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9DA2EC5" w:rsidR="00C577BE" w:rsidRDefault="0050205A" w:rsidP="00E46B64">
            <w:pPr>
              <w:spacing w:after="0" w:line="240" w:lineRule="auto"/>
              <w:ind w:right="118"/>
              <w:jc w:val="both"/>
              <w:rPr>
                <w:sz w:val="24"/>
                <w:szCs w:val="24"/>
              </w:rPr>
            </w:pPr>
            <w:r w:rsidRPr="003831C5">
              <w:rPr>
                <w:rFonts w:cstheme="minorHAnsi"/>
              </w:rPr>
              <w:t>Practical evidence of developing and maintaining good working relationships with a wide range of customers/stakeholders</w:t>
            </w:r>
          </w:p>
        </w:tc>
      </w:tr>
      <w:tr w:rsidR="00C577BE" w14:paraId="6CA6538F" w14:textId="77777777" w:rsidTr="23175377">
        <w:trPr>
          <w:trHeight w:val="300"/>
        </w:trPr>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594CEA01" w:rsidR="00C577BE" w:rsidRDefault="0050205A" w:rsidP="00E46B64">
            <w:pPr>
              <w:spacing w:after="0" w:line="240" w:lineRule="auto"/>
              <w:ind w:right="118"/>
              <w:jc w:val="both"/>
              <w:rPr>
                <w:sz w:val="24"/>
                <w:szCs w:val="24"/>
              </w:rPr>
            </w:pPr>
            <w:r w:rsidRPr="003831C5">
              <w:rPr>
                <w:rFonts w:eastAsia="Times New Roman" w:cstheme="minorHAnsi"/>
              </w:rPr>
              <w:t>Ability to respond effectively to changeable or challenging situations, remaining clam and measured in approach to challenge.</w:t>
            </w:r>
          </w:p>
        </w:tc>
      </w:tr>
      <w:tr w:rsidR="00C577BE" w14:paraId="22047EE8" w14:textId="77777777" w:rsidTr="23175377">
        <w:trPr>
          <w:trHeight w:val="300"/>
        </w:trPr>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6B4572E" w:rsidR="00C577BE" w:rsidRDefault="0050205A" w:rsidP="00E46B64">
            <w:pPr>
              <w:spacing w:after="0" w:line="240" w:lineRule="auto"/>
              <w:ind w:right="118"/>
              <w:jc w:val="both"/>
              <w:rPr>
                <w:sz w:val="24"/>
                <w:szCs w:val="24"/>
              </w:rPr>
            </w:pPr>
            <w:r w:rsidRPr="003831C5">
              <w:rPr>
                <w:rFonts w:cstheme="minorHAnsi"/>
              </w:rPr>
              <w:t xml:space="preserve">A </w:t>
            </w:r>
            <w:r>
              <w:rPr>
                <w:rFonts w:cstheme="minorHAnsi"/>
              </w:rPr>
              <w:t>sound</w:t>
            </w:r>
            <w:r w:rsidRPr="003831C5">
              <w:rPr>
                <w:rFonts w:cstheme="minorHAnsi"/>
              </w:rPr>
              <w:t xml:space="preserve"> understanding of current issues affecting social housing and private housing provision, and proactive, </w:t>
            </w:r>
            <w:proofErr w:type="gramStart"/>
            <w:r w:rsidRPr="003831C5">
              <w:rPr>
                <w:rFonts w:cstheme="minorHAnsi"/>
              </w:rPr>
              <w:t>problem solving</w:t>
            </w:r>
            <w:proofErr w:type="gramEnd"/>
            <w:r w:rsidRPr="003831C5">
              <w:rPr>
                <w:rFonts w:cstheme="minorHAnsi"/>
              </w:rPr>
              <w:t xml:space="preserve"> initiative to support a wide range of customer needs</w:t>
            </w:r>
          </w:p>
        </w:tc>
      </w:tr>
      <w:tr w:rsidR="00C577BE" w14:paraId="1CA3B18C" w14:textId="77777777" w:rsidTr="23175377">
        <w:trPr>
          <w:trHeight w:val="300"/>
        </w:trPr>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52079FC8" w:rsidR="00C577BE" w:rsidRDefault="0050205A" w:rsidP="00E46B64">
            <w:pPr>
              <w:spacing w:after="0" w:line="240" w:lineRule="auto"/>
              <w:ind w:right="118"/>
              <w:jc w:val="both"/>
              <w:rPr>
                <w:sz w:val="24"/>
                <w:szCs w:val="24"/>
              </w:rPr>
            </w:pPr>
            <w:r w:rsidRPr="003831C5">
              <w:rPr>
                <w:rFonts w:cstheme="minorHAnsi"/>
              </w:rPr>
              <w:t xml:space="preserve">Good level </w:t>
            </w:r>
            <w:r>
              <w:rPr>
                <w:rFonts w:cstheme="minorHAnsi"/>
              </w:rPr>
              <w:t xml:space="preserve">of IT, </w:t>
            </w:r>
            <w:r w:rsidRPr="003831C5">
              <w:rPr>
                <w:rFonts w:cstheme="minorHAnsi"/>
              </w:rPr>
              <w:t>written and oral communication skills.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ED4A" w14:textId="77777777" w:rsidR="00D27AE8" w:rsidRDefault="00D27AE8" w:rsidP="00F45CF3">
      <w:pPr>
        <w:spacing w:after="0" w:line="240" w:lineRule="auto"/>
      </w:pPr>
      <w:r>
        <w:separator/>
      </w:r>
    </w:p>
  </w:endnote>
  <w:endnote w:type="continuationSeparator" w:id="0">
    <w:p w14:paraId="3410CCF7" w14:textId="77777777" w:rsidR="00D27AE8" w:rsidRDefault="00D27AE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14F5" w14:textId="77777777" w:rsidR="00D27AE8" w:rsidRDefault="00D27AE8" w:rsidP="00F45CF3">
      <w:pPr>
        <w:spacing w:after="0" w:line="240" w:lineRule="auto"/>
      </w:pPr>
      <w:r>
        <w:separator/>
      </w:r>
    </w:p>
  </w:footnote>
  <w:footnote w:type="continuationSeparator" w:id="0">
    <w:p w14:paraId="16C82DF0" w14:textId="77777777" w:rsidR="00D27AE8" w:rsidRDefault="00D27AE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085D8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7NggNi2YfiWUbjNH7JD9bVIrPUrP+geuM/wN46IsmlRB5hcNORhLb/vLycuFPJ7hUKP5PF8GdNyssHWl7BpB7w==" w:salt="0vDJT7DsnCE96WARNBSA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4D0"/>
    <w:rsid w:val="0012023B"/>
    <w:rsid w:val="00123AB2"/>
    <w:rsid w:val="00142CC7"/>
    <w:rsid w:val="0016309D"/>
    <w:rsid w:val="00163709"/>
    <w:rsid w:val="001746E1"/>
    <w:rsid w:val="0017540B"/>
    <w:rsid w:val="001965A4"/>
    <w:rsid w:val="001B215B"/>
    <w:rsid w:val="001C1745"/>
    <w:rsid w:val="001C40EB"/>
    <w:rsid w:val="001C79E6"/>
    <w:rsid w:val="001D3161"/>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14C2"/>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0205A"/>
    <w:rsid w:val="00511E1C"/>
    <w:rsid w:val="00521417"/>
    <w:rsid w:val="00524ECB"/>
    <w:rsid w:val="00525EB5"/>
    <w:rsid w:val="00546B3B"/>
    <w:rsid w:val="0055227E"/>
    <w:rsid w:val="005614A5"/>
    <w:rsid w:val="005907E5"/>
    <w:rsid w:val="005A37D6"/>
    <w:rsid w:val="005D75C4"/>
    <w:rsid w:val="005F2CFE"/>
    <w:rsid w:val="00623D69"/>
    <w:rsid w:val="00637D75"/>
    <w:rsid w:val="00643E56"/>
    <w:rsid w:val="00644957"/>
    <w:rsid w:val="0064697A"/>
    <w:rsid w:val="00655A18"/>
    <w:rsid w:val="00674AB0"/>
    <w:rsid w:val="006C3E21"/>
    <w:rsid w:val="006D7B3F"/>
    <w:rsid w:val="006D7CC1"/>
    <w:rsid w:val="006E12F9"/>
    <w:rsid w:val="00706A7E"/>
    <w:rsid w:val="00711754"/>
    <w:rsid w:val="007201E4"/>
    <w:rsid w:val="00736173"/>
    <w:rsid w:val="00740952"/>
    <w:rsid w:val="0076639E"/>
    <w:rsid w:val="00787181"/>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708B5"/>
    <w:rsid w:val="00882F7E"/>
    <w:rsid w:val="00890ABB"/>
    <w:rsid w:val="008A087E"/>
    <w:rsid w:val="008A3763"/>
    <w:rsid w:val="008A7275"/>
    <w:rsid w:val="008B4CF5"/>
    <w:rsid w:val="008B6A35"/>
    <w:rsid w:val="008C190C"/>
    <w:rsid w:val="008D0018"/>
    <w:rsid w:val="008E461A"/>
    <w:rsid w:val="009330EB"/>
    <w:rsid w:val="0094093A"/>
    <w:rsid w:val="00954ED6"/>
    <w:rsid w:val="009657AB"/>
    <w:rsid w:val="009675BD"/>
    <w:rsid w:val="009763D4"/>
    <w:rsid w:val="009A58DA"/>
    <w:rsid w:val="009E1D5B"/>
    <w:rsid w:val="00A4187C"/>
    <w:rsid w:val="00A5170B"/>
    <w:rsid w:val="00A55C93"/>
    <w:rsid w:val="00A6186B"/>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B2D31"/>
    <w:rsid w:val="00CD5B21"/>
    <w:rsid w:val="00CD6C03"/>
    <w:rsid w:val="00CD7135"/>
    <w:rsid w:val="00CE14F7"/>
    <w:rsid w:val="00CE775F"/>
    <w:rsid w:val="00D12B22"/>
    <w:rsid w:val="00D1450D"/>
    <w:rsid w:val="00D24BC4"/>
    <w:rsid w:val="00D27AE8"/>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2DFD"/>
    <w:rsid w:val="00E44FEA"/>
    <w:rsid w:val="00E46B64"/>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7823"/>
    <w:rsid w:val="00F6045D"/>
    <w:rsid w:val="00F70F28"/>
    <w:rsid w:val="00F74660"/>
    <w:rsid w:val="00F93879"/>
    <w:rsid w:val="00F950AC"/>
    <w:rsid w:val="00F97010"/>
    <w:rsid w:val="00FA17D1"/>
    <w:rsid w:val="00FB7402"/>
    <w:rsid w:val="00FC594A"/>
    <w:rsid w:val="00FC5C8E"/>
    <w:rsid w:val="00FD0BD7"/>
    <w:rsid w:val="00FF1430"/>
    <w:rsid w:val="0D312726"/>
    <w:rsid w:val="0DF6D990"/>
    <w:rsid w:val="23175377"/>
    <w:rsid w:val="2E3FAF0A"/>
    <w:rsid w:val="2EB55965"/>
    <w:rsid w:val="2F06B5DB"/>
    <w:rsid w:val="337E2448"/>
    <w:rsid w:val="430CC2A5"/>
    <w:rsid w:val="4B526013"/>
    <w:rsid w:val="595814FA"/>
    <w:rsid w:val="64B4D5C8"/>
    <w:rsid w:val="689C0DF5"/>
    <w:rsid w:val="6E960D4F"/>
    <w:rsid w:val="7EC28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9EB73-C88D-407D-996C-50785DA10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C044D1FA-A77C-4741-9B11-B43E098CAFD0}">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2</cp:revision>
  <cp:lastPrinted>2024-04-12T17:00:00Z</cp:lastPrinted>
  <dcterms:created xsi:type="dcterms:W3CDTF">2025-07-10T07:02:00Z</dcterms:created>
  <dcterms:modified xsi:type="dcterms:W3CDTF">2025-07-10T07:02:00Z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