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96832D" w:rsidR="00D72A65" w:rsidRDefault="00145F99">
      <w:pPr>
        <w:rPr>
          <w:rFonts w:cstheme="minorHAnsi"/>
          <w:b/>
          <w:bCs/>
          <w:color w:val="000000" w:themeColor="text1"/>
        </w:rPr>
      </w:pPr>
      <w:r>
        <w:rPr>
          <w:rFonts w:cstheme="minorHAnsi"/>
          <w:b/>
          <w:bCs/>
          <w:noProof/>
          <w:color w:val="000000" w:themeColor="text1"/>
        </w:rPr>
        <mc:AlternateContent>
          <mc:Choice Requires="wps">
            <w:drawing>
              <wp:anchor distT="0" distB="0" distL="114300" distR="114300" simplePos="0" relativeHeight="251660291" behindDoc="0" locked="0" layoutInCell="1" allowOverlap="1" wp14:anchorId="28BCD40F" wp14:editId="2962156F">
                <wp:simplePos x="0" y="0"/>
                <wp:positionH relativeFrom="margin">
                  <wp:align>right</wp:align>
                </wp:positionH>
                <wp:positionV relativeFrom="paragraph">
                  <wp:posOffset>167425</wp:posOffset>
                </wp:positionV>
                <wp:extent cx="6753225" cy="1313610"/>
                <wp:effectExtent l="0" t="0" r="0" b="0"/>
                <wp:wrapNone/>
                <wp:docPr id="11" name="TextBox 6"/>
                <wp:cNvGraphicFramePr/>
                <a:graphic xmlns:a="http://schemas.openxmlformats.org/drawingml/2006/main">
                  <a:graphicData uri="http://schemas.microsoft.com/office/word/2010/wordprocessingShape">
                    <wps:wsp>
                      <wps:cNvSpPr txBox="1"/>
                      <wps:spPr>
                        <a:xfrm>
                          <a:off x="0" y="0"/>
                          <a:ext cx="6753225" cy="1313610"/>
                        </a:xfrm>
                        <a:prstGeom prst="rect">
                          <a:avLst/>
                        </a:prstGeom>
                        <a:noFill/>
                      </wps:spPr>
                      <wps:txbx>
                        <w:txbxContent>
                          <w:p w14:paraId="3F23DFFE" w14:textId="6EA113BE" w:rsidR="00145F99" w:rsidRDefault="00145F99" w:rsidP="00145F99">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Invest Milton Keynes Manager</w:t>
                            </w:r>
                            <w:r w:rsidR="000B6A45">
                              <w:rPr>
                                <w:noProof/>
                              </w:rPr>
                              <w:tab/>
                            </w:r>
                            <w:r w:rsidR="006F311C">
                              <w:rPr>
                                <w:noProof/>
                              </w:rPr>
                              <w:t xml:space="preserve">      </w:t>
                            </w:r>
                            <w:r w:rsidR="00F57F92">
                              <w:rPr>
                                <w:noProof/>
                              </w:rPr>
                              <w:drawing>
                                <wp:inline distT="0" distB="0" distL="0" distR="0" wp14:anchorId="3487CFBB" wp14:editId="59390EBA">
                                  <wp:extent cx="2159635" cy="5384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5E54D7C2" w14:textId="6C72129A" w:rsidR="00145F99" w:rsidRPr="00251D49" w:rsidRDefault="00145F99" w:rsidP="00145F9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2537</w:t>
                            </w:r>
                          </w:p>
                          <w:p w14:paraId="77E60810" w14:textId="77777777" w:rsidR="00145F99" w:rsidRPr="00EC3018" w:rsidRDefault="00145F99" w:rsidP="00145F99">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8BCD40F" id="_x0000_t202" coordsize="21600,21600" o:spt="202" path="m,l,21600r21600,l21600,xe">
                <v:stroke joinstyle="miter"/>
                <v:path gradientshapeok="t" o:connecttype="rect"/>
              </v:shapetype>
              <v:shape id="TextBox 6" o:spid="_x0000_s1026" type="#_x0000_t202" style="position:absolute;margin-left:480.55pt;margin-top:13.2pt;width:531.75pt;height:103.45pt;z-index:2516602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" filled="f" stroked="f">
                <v:textbox>
                  <w:txbxContent>
                    <w:p w14:paraId="3F23DFFE" w14:textId="6EA113BE" w:rsidR="00145F99" w:rsidRDefault="00145F99" w:rsidP="00145F99">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Invest Milton Keynes Manager</w:t>
                      </w:r>
                      <w:r w:rsidR="000B6A45">
                        <w:rPr>
                          <w:noProof/>
                        </w:rPr>
                        <w:tab/>
                      </w:r>
                      <w:r w:rsidR="006F311C">
                        <w:rPr>
                          <w:noProof/>
                        </w:rPr>
                        <w:t xml:space="preserve">      </w:t>
                      </w:r>
                      <w:r w:rsidR="00F57F92">
                        <w:rPr>
                          <w:noProof/>
                        </w:rPr>
                        <w:drawing>
                          <wp:inline distT="0" distB="0" distL="0" distR="0" wp14:anchorId="3487CFBB" wp14:editId="59390EBA">
                            <wp:extent cx="2159635" cy="5384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5E54D7C2" w14:textId="6C72129A" w:rsidR="00145F99" w:rsidRPr="00251D49" w:rsidRDefault="00145F99" w:rsidP="00145F9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2537</w:t>
                      </w:r>
                    </w:p>
                    <w:p w14:paraId="77E60810" w14:textId="77777777" w:rsidR="00145F99" w:rsidRPr="00EC3018" w:rsidRDefault="00145F99" w:rsidP="00145F99">
                      <w:pPr>
                        <w:shd w:val="clear" w:color="auto" w:fill="008996"/>
                        <w:spacing w:after="0" w:line="240" w:lineRule="auto"/>
                        <w:contextualSpacing/>
                        <w:rPr>
                          <w:sz w:val="6"/>
                          <w:szCs w:val="6"/>
                        </w:rPr>
                      </w:pPr>
                    </w:p>
                  </w:txbxContent>
                </v:textbox>
                <w10:wrap anchorx="margin"/>
              </v:shape>
            </w:pict>
          </mc:Fallback>
        </mc:AlternateContent>
      </w:r>
    </w:p>
    <w:p w14:paraId="08B04D4C" w14:textId="77185915" w:rsidR="00D72A65" w:rsidRDefault="00DF1A9B">
      <w:pPr>
        <w:rPr>
          <w:rFonts w:cstheme="minorHAnsi"/>
          <w:b/>
          <w:bCs/>
          <w:color w:val="000000" w:themeColor="text1"/>
        </w:rPr>
      </w:pPr>
      <w:r>
        <w:rPr>
          <w:noProof/>
        </w:rPr>
        <w:drawing>
          <wp:anchor distT="0" distB="0" distL="114300" distR="114300" simplePos="0" relativeHeight="251656192" behindDoc="0" locked="0" layoutInCell="1" allowOverlap="1" wp14:anchorId="00487C5A" wp14:editId="5A9AC02E">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104F2E65" w:rsidR="00D72A65" w:rsidRDefault="00D72A65">
      <w:pPr>
        <w:rPr>
          <w:rFonts w:cstheme="minorHAnsi"/>
          <w:b/>
          <w:bCs/>
          <w:color w:val="000000" w:themeColor="text1"/>
        </w:rPr>
      </w:pPr>
    </w:p>
    <w:p w14:paraId="193F4F89" w14:textId="0DE44908" w:rsidR="00D72A65" w:rsidRDefault="00D72A65">
      <w:pPr>
        <w:rPr>
          <w:rFonts w:cstheme="minorHAnsi"/>
          <w:b/>
          <w:bCs/>
          <w:color w:val="000000" w:themeColor="text1"/>
        </w:rPr>
      </w:pPr>
    </w:p>
    <w:p w14:paraId="26063B61" w14:textId="78D62D58" w:rsidR="00145F99" w:rsidRDefault="00145F99" w:rsidP="00145F99">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09A95334" w:rsidR="006D5B81" w:rsidRPr="006D5B81" w:rsidRDefault="006D5B81" w:rsidP="006D5B81">
            <w:pPr>
              <w:jc w:val="center"/>
              <w:rPr>
                <w:rFonts w:cstheme="minorHAnsi"/>
                <w:b/>
                <w:bCs/>
                <w:color w:val="000000" w:themeColor="text1"/>
                <w:sz w:val="28"/>
                <w:szCs w:val="28"/>
              </w:rPr>
            </w:pPr>
          </w:p>
          <w:p w14:paraId="793DEA52" w14:textId="496062A0"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145F99">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1C68AE48" w14:textId="77777777" w:rsidR="006D5B81" w:rsidRDefault="006D5B81" w:rsidP="006D5B81">
            <w:pPr>
              <w:rPr>
                <w:rFonts w:cstheme="minorHAnsi"/>
                <w:color w:val="000000" w:themeColor="text1"/>
              </w:rPr>
            </w:pPr>
          </w:p>
          <w:p w14:paraId="05184FA1" w14:textId="04326566" w:rsidR="00A214B4" w:rsidRPr="001C2894" w:rsidRDefault="00A214B4" w:rsidP="006D5B81">
            <w:pPr>
              <w:rPr>
                <w:rFonts w:cstheme="minorHAnsi"/>
                <w:color w:val="000000" w:themeColor="text1"/>
              </w:rPr>
            </w:pPr>
          </w:p>
        </w:tc>
      </w:tr>
      <w:tr w:rsidR="00D72A65" w14:paraId="260A4DED" w14:textId="77777777" w:rsidTr="006D5B81">
        <w:tc>
          <w:tcPr>
            <w:tcW w:w="2093" w:type="dxa"/>
          </w:tcPr>
          <w:p w14:paraId="72A48CD8" w14:textId="638C475C" w:rsidR="00D72A65" w:rsidRDefault="000F04CA">
            <w:pPr>
              <w:rPr>
                <w:rFonts w:cstheme="minorHAnsi"/>
                <w:b/>
                <w:bCs/>
                <w:color w:val="000000" w:themeColor="text1"/>
              </w:rPr>
            </w:pPr>
            <w:r>
              <w:rPr>
                <w:rFonts w:cstheme="minorHAnsi"/>
                <w:b/>
                <w:bCs/>
                <w:color w:val="000000" w:themeColor="text1"/>
              </w:rPr>
              <w:t>Service</w:t>
            </w:r>
            <w:r w:rsidR="00CC73DF">
              <w:rPr>
                <w:rFonts w:cstheme="minorHAnsi"/>
                <w:b/>
                <w:bCs/>
                <w:color w:val="000000" w:themeColor="text1"/>
              </w:rPr>
              <w:t>:</w:t>
            </w:r>
          </w:p>
        </w:tc>
        <w:tc>
          <w:tcPr>
            <w:tcW w:w="8363" w:type="dxa"/>
          </w:tcPr>
          <w:p w14:paraId="2DBC25FE" w14:textId="7AFDDF3A" w:rsidR="00D72A65" w:rsidRPr="001C2894" w:rsidRDefault="009F418B">
            <w:pPr>
              <w:rPr>
                <w:rFonts w:cstheme="minorHAnsi"/>
                <w:color w:val="000000" w:themeColor="text1"/>
              </w:rPr>
            </w:pPr>
            <w:r>
              <w:rPr>
                <w:rFonts w:cstheme="minorHAnsi"/>
                <w:color w:val="000000" w:themeColor="text1"/>
              </w:rPr>
              <w:t>Economic Development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869B338" w:rsidR="00D72A65" w:rsidRPr="001C2894" w:rsidRDefault="009F418B">
            <w:pPr>
              <w:rPr>
                <w:rFonts w:cstheme="minorHAnsi"/>
                <w:color w:val="000000" w:themeColor="text1"/>
              </w:rPr>
            </w:pPr>
            <w:r>
              <w:rPr>
                <w:rFonts w:cstheme="minorHAnsi"/>
                <w:color w:val="000000" w:themeColor="text1"/>
              </w:rPr>
              <w:t>Head of Economic Development</w:t>
            </w:r>
          </w:p>
        </w:tc>
      </w:tr>
      <w:tr w:rsidR="000F04CA" w14:paraId="73898685" w14:textId="77777777" w:rsidTr="006D5B81">
        <w:tc>
          <w:tcPr>
            <w:tcW w:w="2093" w:type="dxa"/>
          </w:tcPr>
          <w:p w14:paraId="4A446E8F" w14:textId="4C996A4D" w:rsidR="000F04CA" w:rsidRDefault="000F04CA" w:rsidP="000F04CA">
            <w:pPr>
              <w:rPr>
                <w:rFonts w:cstheme="minorHAnsi"/>
                <w:b/>
                <w:bCs/>
                <w:color w:val="000000" w:themeColor="text1"/>
              </w:rPr>
            </w:pPr>
            <w:r>
              <w:rPr>
                <w:rFonts w:cstheme="minorHAnsi"/>
                <w:b/>
                <w:bCs/>
                <w:color w:val="000000" w:themeColor="text1"/>
              </w:rPr>
              <w:t>Job Family</w:t>
            </w:r>
            <w:r w:rsidR="00CC73DF">
              <w:rPr>
                <w:rFonts w:cstheme="minorHAnsi"/>
                <w:b/>
                <w:bCs/>
                <w:color w:val="000000" w:themeColor="text1"/>
              </w:rPr>
              <w:t>:</w:t>
            </w:r>
          </w:p>
        </w:tc>
        <w:tc>
          <w:tcPr>
            <w:tcW w:w="8363" w:type="dxa"/>
          </w:tcPr>
          <w:p w14:paraId="3E523A0B" w14:textId="0A0D74FE" w:rsidR="000F04CA" w:rsidRPr="001C2894" w:rsidRDefault="009F418B" w:rsidP="000F04CA">
            <w:pPr>
              <w:rPr>
                <w:rFonts w:cstheme="minorHAnsi"/>
                <w:color w:val="000000" w:themeColor="text1"/>
              </w:rPr>
            </w:pPr>
            <w:r>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3E7E6D5" w:rsidR="00E2449F" w:rsidRPr="001C2894" w:rsidRDefault="00361D02"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CF923E6" w14:textId="348FF10D" w:rsidR="00E2449F" w:rsidRDefault="00E2449F" w:rsidP="000F04CA">
            <w:pPr>
              <w:rPr>
                <w:rFonts w:cstheme="minorHAnsi"/>
                <w:b/>
                <w:bCs/>
                <w:color w:val="000000" w:themeColor="text1"/>
              </w:rPr>
            </w:pPr>
            <w:r>
              <w:rPr>
                <w:rFonts w:cstheme="minorHAnsi"/>
                <w:b/>
                <w:bCs/>
                <w:color w:val="000000" w:themeColor="text1"/>
              </w:rPr>
              <w:t>Political restricted</w:t>
            </w:r>
            <w:r w:rsidR="00CC73DF">
              <w:rPr>
                <w:rFonts w:cstheme="minorHAnsi"/>
                <w:b/>
                <w:bCs/>
                <w:color w:val="000000" w:themeColor="text1"/>
              </w:rPr>
              <w:t>:</w:t>
            </w:r>
          </w:p>
        </w:tc>
        <w:tc>
          <w:tcPr>
            <w:tcW w:w="8363" w:type="dxa"/>
          </w:tcPr>
          <w:p w14:paraId="7CE31787" w14:textId="414DDB50" w:rsidR="00E2449F" w:rsidRPr="001C2894" w:rsidRDefault="00E2449F" w:rsidP="000F04CA">
            <w:pPr>
              <w:rPr>
                <w:rFonts w:cstheme="minorHAnsi"/>
                <w:color w:val="000000" w:themeColor="text1"/>
              </w:rPr>
            </w:pPr>
            <w:r>
              <w:rPr>
                <w:rFonts w:cstheme="minorHAnsi"/>
                <w:color w:val="000000" w:themeColor="text1"/>
              </w:rPr>
              <w:t>Y</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77B7513" w:rsidR="00251D49" w:rsidRDefault="007E4FA4" w:rsidP="000F04CA">
            <w:pPr>
              <w:rPr>
                <w:rFonts w:cstheme="minorHAnsi"/>
                <w:color w:val="000000" w:themeColor="text1"/>
              </w:rPr>
            </w:pPr>
            <w:r>
              <w:rPr>
                <w:rFonts w:cstheme="minorHAnsi"/>
                <w:color w:val="000000" w:themeColor="text1"/>
              </w:rPr>
              <w:t>June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635" w:type="dxa"/>
        <w:tblLook w:val="04A0" w:firstRow="1" w:lastRow="0" w:firstColumn="1" w:lastColumn="0" w:noHBand="0" w:noVBand="1"/>
      </w:tblPr>
      <w:tblGrid>
        <w:gridCol w:w="571"/>
        <w:gridCol w:w="10064"/>
      </w:tblGrid>
      <w:tr w:rsidR="001C2894" w14:paraId="3FF8FAA1" w14:textId="77777777" w:rsidTr="004F1789">
        <w:trPr>
          <w:trHeight w:val="2275"/>
        </w:trPr>
        <w:tc>
          <w:tcPr>
            <w:tcW w:w="571"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10064" w:type="dxa"/>
          </w:tcPr>
          <w:p w14:paraId="20B7A31B" w14:textId="5ADD1F49" w:rsidR="001C2894" w:rsidRDefault="00AB5CB0" w:rsidP="00D72A65">
            <w:pPr>
              <w:rPr>
                <w:rFonts w:cstheme="minorHAnsi"/>
                <w:b/>
                <w:bCs/>
                <w:color w:val="000000" w:themeColor="text1"/>
              </w:rPr>
            </w:pPr>
            <w:r>
              <w:rPr>
                <w:rFonts w:cstheme="minorHAnsi"/>
                <w:b/>
                <w:bCs/>
                <w:color w:val="000000" w:themeColor="text1"/>
              </w:rPr>
              <w:t xml:space="preserve">Leadership - </w:t>
            </w:r>
            <w:r w:rsidR="009D1140" w:rsidRPr="004F1789">
              <w:rPr>
                <w:rFonts w:cstheme="minorHAnsi"/>
                <w:color w:val="000000" w:themeColor="text1"/>
              </w:rPr>
              <w:t>Responsibility for day to day management</w:t>
            </w:r>
            <w:r w:rsidR="00C655AE" w:rsidRPr="004F1789">
              <w:rPr>
                <w:rFonts w:cstheme="minorHAnsi"/>
                <w:color w:val="000000" w:themeColor="text1"/>
              </w:rPr>
              <w:t xml:space="preserve"> and leadership</w:t>
            </w:r>
            <w:r w:rsidR="009D1140" w:rsidRPr="004F1789">
              <w:rPr>
                <w:rFonts w:cstheme="minorHAnsi"/>
                <w:color w:val="000000" w:themeColor="text1"/>
              </w:rPr>
              <w:t xml:space="preserve"> of the Invest M</w:t>
            </w:r>
            <w:r w:rsidR="007914F7" w:rsidRPr="004F1789">
              <w:rPr>
                <w:rFonts w:cstheme="minorHAnsi"/>
                <w:color w:val="000000" w:themeColor="text1"/>
              </w:rPr>
              <w:t xml:space="preserve">ilton </w:t>
            </w:r>
            <w:r w:rsidR="009D1140" w:rsidRPr="004F1789">
              <w:rPr>
                <w:rFonts w:cstheme="minorHAnsi"/>
                <w:color w:val="000000" w:themeColor="text1"/>
              </w:rPr>
              <w:t>K</w:t>
            </w:r>
            <w:r w:rsidR="007914F7" w:rsidRPr="004F1789">
              <w:rPr>
                <w:rFonts w:cstheme="minorHAnsi"/>
                <w:color w:val="000000" w:themeColor="text1"/>
              </w:rPr>
              <w:t>eynes</w:t>
            </w:r>
            <w:r w:rsidR="009D1140" w:rsidRPr="004F1789">
              <w:rPr>
                <w:rFonts w:cstheme="minorHAnsi"/>
                <w:color w:val="000000" w:themeColor="text1"/>
              </w:rPr>
              <w:t xml:space="preserve"> team</w:t>
            </w:r>
            <w:r w:rsidR="00DB4038" w:rsidRPr="004F1789">
              <w:rPr>
                <w:rFonts w:cstheme="minorHAnsi"/>
                <w:color w:val="000000" w:themeColor="text1"/>
              </w:rPr>
              <w:t xml:space="preserve"> (</w:t>
            </w:r>
            <w:r w:rsidR="00D849D4" w:rsidRPr="004F1789">
              <w:rPr>
                <w:rFonts w:cstheme="minorHAnsi"/>
                <w:color w:val="000000" w:themeColor="text1"/>
              </w:rPr>
              <w:t>Milton Keynes City</w:t>
            </w:r>
            <w:r w:rsidR="007914F7" w:rsidRPr="004F1789">
              <w:rPr>
                <w:rFonts w:cstheme="minorHAnsi"/>
                <w:color w:val="000000" w:themeColor="text1"/>
              </w:rPr>
              <w:t xml:space="preserve"> Council’s Economic Development</w:t>
            </w:r>
            <w:r w:rsidR="00C5175C" w:rsidRPr="004F1789">
              <w:rPr>
                <w:rFonts w:cstheme="minorHAnsi"/>
                <w:color w:val="000000" w:themeColor="text1"/>
              </w:rPr>
              <w:t xml:space="preserve"> team</w:t>
            </w:r>
            <w:r w:rsidR="00DB4038" w:rsidRPr="004F1789">
              <w:rPr>
                <w:rFonts w:cstheme="minorHAnsi"/>
                <w:color w:val="000000" w:themeColor="text1"/>
              </w:rPr>
              <w:t>)</w:t>
            </w:r>
            <w:r w:rsidR="00C655AE" w:rsidRPr="004F1789">
              <w:rPr>
                <w:rFonts w:cstheme="minorHAnsi"/>
                <w:color w:val="000000" w:themeColor="text1"/>
              </w:rPr>
              <w:t xml:space="preserve"> in line with the Council Plan and </w:t>
            </w:r>
            <w:r w:rsidR="007628C1" w:rsidRPr="004F1789">
              <w:rPr>
                <w:rFonts w:cstheme="minorHAnsi"/>
                <w:color w:val="000000" w:themeColor="text1"/>
              </w:rPr>
              <w:t>service plan.</w:t>
            </w:r>
            <w:r w:rsidR="00224237" w:rsidRPr="004F1789">
              <w:rPr>
                <w:rFonts w:cstheme="minorHAnsi"/>
                <w:color w:val="000000" w:themeColor="text1"/>
              </w:rPr>
              <w:t xml:space="preserve"> Working with colleagues</w:t>
            </w:r>
            <w:r w:rsidR="00DA7A2E" w:rsidRPr="004F1789">
              <w:rPr>
                <w:rFonts w:cstheme="minorHAnsi"/>
                <w:color w:val="000000" w:themeColor="text1"/>
              </w:rPr>
              <w:t xml:space="preserve">, services and Councillors across Milton Keynes City </w:t>
            </w:r>
            <w:r w:rsidR="00C26F4B" w:rsidRPr="004F1789">
              <w:rPr>
                <w:rFonts w:cstheme="minorHAnsi"/>
                <w:color w:val="000000" w:themeColor="text1"/>
              </w:rPr>
              <w:t>C</w:t>
            </w:r>
            <w:r w:rsidR="00DA7A2E" w:rsidRPr="004F1789">
              <w:rPr>
                <w:rFonts w:cstheme="minorHAnsi"/>
                <w:color w:val="000000" w:themeColor="text1"/>
              </w:rPr>
              <w:t xml:space="preserve">ouncil </w:t>
            </w:r>
            <w:r w:rsidR="006E309F" w:rsidRPr="004F1789">
              <w:rPr>
                <w:rFonts w:cstheme="minorHAnsi"/>
                <w:color w:val="000000" w:themeColor="text1"/>
              </w:rPr>
              <w:t xml:space="preserve">to deliver </w:t>
            </w:r>
            <w:r w:rsidR="00D849D4" w:rsidRPr="004F1789">
              <w:rPr>
                <w:rFonts w:cstheme="minorHAnsi"/>
                <w:color w:val="000000" w:themeColor="text1"/>
              </w:rPr>
              <w:t>Economic Development activity</w:t>
            </w:r>
            <w:r w:rsidR="00657828" w:rsidRPr="004F1789">
              <w:rPr>
                <w:rFonts w:cstheme="minorHAnsi"/>
                <w:color w:val="000000" w:themeColor="text1"/>
              </w:rPr>
              <w:t>.</w:t>
            </w:r>
            <w:r w:rsidR="00BA4DA5" w:rsidRPr="004F1789">
              <w:rPr>
                <w:rFonts w:cstheme="minorHAnsi"/>
                <w:color w:val="000000" w:themeColor="text1"/>
              </w:rPr>
              <w:t xml:space="preserve"> </w:t>
            </w:r>
            <w:r w:rsidR="006C13A4" w:rsidRPr="004F1789">
              <w:rPr>
                <w:rFonts w:cstheme="minorHAnsi"/>
                <w:color w:val="000000" w:themeColor="text1"/>
              </w:rPr>
              <w:br/>
            </w:r>
            <w:r w:rsidR="00016812">
              <w:rPr>
                <w:rFonts w:cstheme="minorHAnsi"/>
                <w:color w:val="000000" w:themeColor="text1"/>
              </w:rPr>
              <w:t xml:space="preserve"> will need to meet </w:t>
            </w:r>
            <w:r w:rsidR="001A1615" w:rsidRPr="004F1789">
              <w:rPr>
                <w:rFonts w:cstheme="minorHAnsi"/>
                <w:color w:val="000000" w:themeColor="text1"/>
              </w:rPr>
              <w:t>performance and service targets</w:t>
            </w:r>
            <w:r w:rsidR="009D0EC0" w:rsidRPr="004F1789">
              <w:rPr>
                <w:rFonts w:cstheme="minorHAnsi"/>
                <w:color w:val="000000" w:themeColor="text1"/>
              </w:rPr>
              <w:t>, and d</w:t>
            </w:r>
            <w:r w:rsidR="00BA4DA5" w:rsidRPr="004F1789">
              <w:rPr>
                <w:rFonts w:cstheme="minorHAnsi"/>
                <w:color w:val="000000" w:themeColor="text1"/>
              </w:rPr>
              <w:t>eputi</w:t>
            </w:r>
            <w:r w:rsidR="00016812">
              <w:rPr>
                <w:rFonts w:cstheme="minorHAnsi"/>
                <w:color w:val="000000" w:themeColor="text1"/>
              </w:rPr>
              <w:t>se</w:t>
            </w:r>
            <w:r w:rsidR="00BA4DA5" w:rsidRPr="004F1789">
              <w:rPr>
                <w:rFonts w:cstheme="minorHAnsi"/>
                <w:color w:val="000000" w:themeColor="text1"/>
              </w:rPr>
              <w:t xml:space="preserve"> for the Head of Service as required.</w:t>
            </w:r>
            <w:r w:rsidR="00657828" w:rsidRPr="004F1789">
              <w:rPr>
                <w:rFonts w:cstheme="minorHAnsi"/>
                <w:color w:val="000000" w:themeColor="text1"/>
              </w:rPr>
              <w:t xml:space="preserve"> R</w:t>
            </w:r>
            <w:r w:rsidR="00D22979" w:rsidRPr="004F1789">
              <w:rPr>
                <w:rFonts w:cstheme="minorHAnsi"/>
                <w:color w:val="000000" w:themeColor="text1"/>
              </w:rPr>
              <w:t xml:space="preserve">epresenting the Council and its interests </w:t>
            </w:r>
            <w:r w:rsidR="00142EE6" w:rsidRPr="004F1789">
              <w:rPr>
                <w:rFonts w:cstheme="minorHAnsi"/>
                <w:color w:val="000000" w:themeColor="text1"/>
              </w:rPr>
              <w:t xml:space="preserve">at </w:t>
            </w:r>
            <w:r w:rsidR="00783ECE" w:rsidRPr="004F1789">
              <w:rPr>
                <w:rFonts w:cstheme="minorHAnsi"/>
                <w:color w:val="000000" w:themeColor="text1"/>
              </w:rPr>
              <w:t>external events including conferences, expos</w:t>
            </w:r>
            <w:r w:rsidR="00C03680" w:rsidRPr="004F1789">
              <w:rPr>
                <w:rFonts w:cstheme="minorHAnsi"/>
                <w:color w:val="000000" w:themeColor="text1"/>
              </w:rPr>
              <w:t>itions</w:t>
            </w:r>
            <w:r w:rsidR="00783ECE" w:rsidRPr="004F1789">
              <w:rPr>
                <w:rFonts w:cstheme="minorHAnsi"/>
                <w:color w:val="000000" w:themeColor="text1"/>
              </w:rPr>
              <w:t>, events and for</w:t>
            </w:r>
            <w:r w:rsidR="00365244" w:rsidRPr="004F1789">
              <w:rPr>
                <w:rFonts w:cstheme="minorHAnsi"/>
                <w:color w:val="000000" w:themeColor="text1"/>
              </w:rPr>
              <w:t>a</w:t>
            </w:r>
            <w:r w:rsidR="00853539" w:rsidRPr="004F1789">
              <w:rPr>
                <w:rFonts w:cstheme="minorHAnsi"/>
                <w:color w:val="000000" w:themeColor="text1"/>
              </w:rPr>
              <w:t xml:space="preserve"> to give expert advice on Economic </w:t>
            </w:r>
            <w:r w:rsidR="00365244" w:rsidRPr="004F1789">
              <w:rPr>
                <w:rFonts w:cstheme="minorHAnsi"/>
                <w:color w:val="000000" w:themeColor="text1"/>
              </w:rPr>
              <w:t>matters</w:t>
            </w:r>
            <w:r w:rsidR="00853539" w:rsidRPr="004F1789">
              <w:rPr>
                <w:rFonts w:cstheme="minorHAnsi"/>
                <w:color w:val="000000" w:themeColor="text1"/>
              </w:rPr>
              <w:t xml:space="preserve"> within</w:t>
            </w:r>
            <w:r w:rsidR="00365244" w:rsidRPr="004F1789">
              <w:rPr>
                <w:rFonts w:cstheme="minorHAnsi"/>
                <w:color w:val="000000" w:themeColor="text1"/>
              </w:rPr>
              <w:t xml:space="preserve"> the city of</w:t>
            </w:r>
            <w:r w:rsidR="00853539" w:rsidRPr="004F1789">
              <w:rPr>
                <w:rFonts w:cstheme="minorHAnsi"/>
                <w:color w:val="000000" w:themeColor="text1"/>
              </w:rPr>
              <w:t xml:space="preserve"> Milton Keynes</w:t>
            </w:r>
            <w:r w:rsidR="00830BE1" w:rsidRPr="004F1789">
              <w:rPr>
                <w:rFonts w:cstheme="minorHAnsi"/>
                <w:color w:val="000000" w:themeColor="text1"/>
              </w:rPr>
              <w:t>.</w:t>
            </w:r>
          </w:p>
        </w:tc>
      </w:tr>
      <w:tr w:rsidR="001C2894" w14:paraId="3FE83EC9" w14:textId="77777777" w:rsidTr="004F1789">
        <w:trPr>
          <w:trHeight w:val="1415"/>
        </w:trPr>
        <w:tc>
          <w:tcPr>
            <w:tcW w:w="571"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10064" w:type="dxa"/>
          </w:tcPr>
          <w:p w14:paraId="68A7CB93" w14:textId="73293188" w:rsidR="00270C38" w:rsidRPr="00DB4038" w:rsidRDefault="00270C38" w:rsidP="00270C38">
            <w:pPr>
              <w:tabs>
                <w:tab w:val="left" w:pos="709"/>
              </w:tabs>
              <w:rPr>
                <w:rFonts w:cstheme="minorHAnsi"/>
              </w:rPr>
            </w:pPr>
            <w:r>
              <w:rPr>
                <w:rFonts w:cstheme="minorHAnsi"/>
                <w:b/>
                <w:bCs/>
                <w:color w:val="000000" w:themeColor="text1"/>
              </w:rPr>
              <w:t xml:space="preserve">People management – </w:t>
            </w:r>
            <w:r w:rsidRPr="004F1789">
              <w:rPr>
                <w:rFonts w:cstheme="minorHAnsi"/>
                <w:color w:val="000000" w:themeColor="text1"/>
              </w:rPr>
              <w:t>Effective operational and line management of the Invest Milton Keynes team</w:t>
            </w:r>
            <w:r w:rsidR="009C44A1" w:rsidRPr="004F1789">
              <w:rPr>
                <w:rFonts w:cstheme="minorHAnsi"/>
                <w:color w:val="000000" w:themeColor="text1"/>
              </w:rPr>
              <w:t xml:space="preserve"> of </w:t>
            </w:r>
            <w:r w:rsidR="006C13A4" w:rsidRPr="004F1789">
              <w:rPr>
                <w:rFonts w:cstheme="minorHAnsi"/>
                <w:color w:val="000000" w:themeColor="text1"/>
              </w:rPr>
              <w:t xml:space="preserve"> five individuals</w:t>
            </w:r>
            <w:r w:rsidRPr="004F1789">
              <w:rPr>
                <w:rFonts w:cstheme="minorHAnsi"/>
                <w:color w:val="000000" w:themeColor="text1"/>
              </w:rPr>
              <w:t xml:space="preserve">. Ensuring processes are in place </w:t>
            </w:r>
            <w:r w:rsidRPr="00DB4038">
              <w:rPr>
                <w:rFonts w:cstheme="minorHAnsi"/>
              </w:rPr>
              <w:t>for recruiting, developing, appraising, rewarding and retaining staff, and promoting attendance, performance management and income generation in line with Council polic</w:t>
            </w:r>
            <w:r w:rsidR="00C92647" w:rsidRPr="00DB4038">
              <w:rPr>
                <w:rFonts w:cstheme="minorHAnsi"/>
              </w:rPr>
              <w:t>ies</w:t>
            </w:r>
            <w:r w:rsidRPr="00DB4038">
              <w:rPr>
                <w:rFonts w:cstheme="minorHAnsi"/>
              </w:rPr>
              <w:t>.</w:t>
            </w:r>
          </w:p>
          <w:p w14:paraId="078CCEDA" w14:textId="623EE38A" w:rsidR="001C2894" w:rsidRDefault="001C2894" w:rsidP="00D72A65">
            <w:pPr>
              <w:rPr>
                <w:rFonts w:cstheme="minorHAnsi"/>
                <w:b/>
                <w:bCs/>
                <w:color w:val="000000" w:themeColor="text1"/>
              </w:rPr>
            </w:pPr>
          </w:p>
        </w:tc>
      </w:tr>
      <w:tr w:rsidR="00270C38" w14:paraId="67F259DA" w14:textId="77777777" w:rsidTr="004F1789">
        <w:trPr>
          <w:trHeight w:val="1129"/>
        </w:trPr>
        <w:tc>
          <w:tcPr>
            <w:tcW w:w="571" w:type="dxa"/>
          </w:tcPr>
          <w:p w14:paraId="38D30CA4" w14:textId="5DC235E9" w:rsidR="00270C38" w:rsidRDefault="00270C38" w:rsidP="00D72A65">
            <w:pPr>
              <w:rPr>
                <w:rFonts w:cstheme="minorHAnsi"/>
                <w:b/>
                <w:bCs/>
                <w:color w:val="000000" w:themeColor="text1"/>
              </w:rPr>
            </w:pPr>
            <w:r>
              <w:rPr>
                <w:rFonts w:cstheme="minorHAnsi"/>
                <w:b/>
                <w:bCs/>
                <w:color w:val="000000" w:themeColor="text1"/>
              </w:rPr>
              <w:t>3.</w:t>
            </w:r>
          </w:p>
        </w:tc>
        <w:tc>
          <w:tcPr>
            <w:tcW w:w="10064" w:type="dxa"/>
          </w:tcPr>
          <w:p w14:paraId="1398CCB8" w14:textId="411681E3" w:rsidR="00270C38" w:rsidRDefault="00270C38" w:rsidP="00D72A65">
            <w:pPr>
              <w:rPr>
                <w:rFonts w:cstheme="minorHAnsi"/>
                <w:b/>
                <w:bCs/>
                <w:color w:val="000000" w:themeColor="text1"/>
              </w:rPr>
            </w:pPr>
            <w:r>
              <w:rPr>
                <w:rFonts w:cstheme="minorHAnsi"/>
                <w:b/>
                <w:bCs/>
                <w:color w:val="000000" w:themeColor="text1"/>
              </w:rPr>
              <w:t>Policy development –</w:t>
            </w:r>
            <w:r w:rsidR="00016812">
              <w:rPr>
                <w:rFonts w:cstheme="minorHAnsi"/>
                <w:b/>
                <w:bCs/>
                <w:color w:val="000000" w:themeColor="text1"/>
              </w:rPr>
              <w:t xml:space="preserve">Major contribution </w:t>
            </w:r>
            <w:r w:rsidRPr="004F1789">
              <w:rPr>
                <w:rFonts w:cstheme="minorHAnsi"/>
                <w:color w:val="000000" w:themeColor="text1"/>
              </w:rPr>
              <w:t>to the development of strategies, policies and plans to make Milton Keynes an excellent place to do business and promote the city as an investment location.  Development of policies related to Economic Development and Inward Investment</w:t>
            </w:r>
            <w:r w:rsidR="00033493" w:rsidRPr="004F1789">
              <w:rPr>
                <w:rFonts w:cstheme="minorHAnsi"/>
                <w:color w:val="000000" w:themeColor="text1"/>
              </w:rPr>
              <w:t>. Proactively secure investment enquiries</w:t>
            </w:r>
            <w:r w:rsidR="0031798C" w:rsidRPr="004F1789">
              <w:rPr>
                <w:rFonts w:cstheme="minorHAnsi"/>
                <w:color w:val="000000" w:themeColor="text1"/>
              </w:rPr>
              <w:t xml:space="preserve"> and successes within Milton Keynes.</w:t>
            </w:r>
            <w:r w:rsidR="0031798C">
              <w:rPr>
                <w:rFonts w:cstheme="minorHAnsi"/>
                <w:b/>
                <w:bCs/>
                <w:color w:val="000000" w:themeColor="text1"/>
              </w:rPr>
              <w:t xml:space="preserve"> </w:t>
            </w:r>
          </w:p>
        </w:tc>
      </w:tr>
      <w:tr w:rsidR="001C2894" w14:paraId="699941E4" w14:textId="77777777" w:rsidTr="004F1789">
        <w:trPr>
          <w:trHeight w:val="1415"/>
        </w:trPr>
        <w:tc>
          <w:tcPr>
            <w:tcW w:w="571"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10064" w:type="dxa"/>
          </w:tcPr>
          <w:p w14:paraId="34D8509C" w14:textId="2AE4B741" w:rsidR="001C2894" w:rsidRDefault="00A71324" w:rsidP="00D5782A">
            <w:pPr>
              <w:rPr>
                <w:rFonts w:cstheme="minorHAnsi"/>
                <w:b/>
                <w:bCs/>
                <w:color w:val="000000" w:themeColor="text1"/>
              </w:rPr>
            </w:pPr>
            <w:r>
              <w:rPr>
                <w:rFonts w:cstheme="minorHAnsi"/>
                <w:b/>
                <w:bCs/>
                <w:color w:val="000000" w:themeColor="text1"/>
              </w:rPr>
              <w:t xml:space="preserve">Partnership working </w:t>
            </w:r>
            <w:r w:rsidR="0016591A">
              <w:rPr>
                <w:rFonts w:cstheme="minorHAnsi"/>
                <w:b/>
                <w:bCs/>
                <w:color w:val="000000" w:themeColor="text1"/>
              </w:rPr>
              <w:t>–</w:t>
            </w:r>
            <w:r>
              <w:rPr>
                <w:rFonts w:cstheme="minorHAnsi"/>
                <w:b/>
                <w:bCs/>
                <w:color w:val="000000" w:themeColor="text1"/>
              </w:rPr>
              <w:t xml:space="preserve"> </w:t>
            </w:r>
            <w:r w:rsidR="0016591A" w:rsidRPr="004F1789">
              <w:rPr>
                <w:rFonts w:cstheme="minorHAnsi"/>
                <w:color w:val="000000" w:themeColor="text1"/>
              </w:rPr>
              <w:t xml:space="preserve">Lead on developing partnerships </w:t>
            </w:r>
            <w:r w:rsidR="003B0797" w:rsidRPr="004F1789">
              <w:rPr>
                <w:rFonts w:cstheme="minorHAnsi"/>
                <w:color w:val="000000" w:themeColor="text1"/>
              </w:rPr>
              <w:t xml:space="preserve">with senior leaders </w:t>
            </w:r>
            <w:r w:rsidR="004629C1" w:rsidRPr="004F1789">
              <w:rPr>
                <w:rFonts w:cstheme="minorHAnsi"/>
                <w:color w:val="000000" w:themeColor="text1"/>
              </w:rPr>
              <w:t>from</w:t>
            </w:r>
            <w:r w:rsidR="004637F3" w:rsidRPr="00DB4038">
              <w:rPr>
                <w:color w:val="000000"/>
              </w:rPr>
              <w:t xml:space="preserve"> national, </w:t>
            </w:r>
            <w:r w:rsidR="00512509">
              <w:rPr>
                <w:color w:val="000000"/>
              </w:rPr>
              <w:t xml:space="preserve">international, </w:t>
            </w:r>
            <w:r w:rsidR="004637F3" w:rsidRPr="00DB4038">
              <w:rPr>
                <w:color w:val="000000"/>
              </w:rPr>
              <w:t>regional and local partners and internal</w:t>
            </w:r>
            <w:r w:rsidR="00C03680" w:rsidRPr="00DB4038">
              <w:rPr>
                <w:color w:val="000000"/>
              </w:rPr>
              <w:t xml:space="preserve"> and external</w:t>
            </w:r>
            <w:r w:rsidR="004637F3" w:rsidRPr="00DB4038">
              <w:rPr>
                <w:color w:val="000000"/>
              </w:rPr>
              <w:t xml:space="preserve"> stakeholders</w:t>
            </w:r>
            <w:r w:rsidR="00D5782A" w:rsidRPr="00DB4038">
              <w:rPr>
                <w:color w:val="000000"/>
              </w:rPr>
              <w:t xml:space="preserve"> to further the Milton Keynes economy</w:t>
            </w:r>
            <w:r w:rsidR="004637F3" w:rsidRPr="00DB4038">
              <w:rPr>
                <w:color w:val="000000"/>
              </w:rPr>
              <w:t>.</w:t>
            </w:r>
            <w:r w:rsidR="00AD4591" w:rsidRPr="00DB4038">
              <w:rPr>
                <w:color w:val="000000"/>
              </w:rPr>
              <w:t xml:space="preserve"> Build successful partnerships with the Business Community, including investors, developers, local employers and business representative groups to ensure the Council’s objectives are met.</w:t>
            </w:r>
            <w:r w:rsidR="00AD4591" w:rsidRPr="00DB4038">
              <w:t xml:space="preserve"> </w:t>
            </w:r>
            <w:r w:rsidR="00270C38" w:rsidRPr="00DB4038">
              <w:t>Joint working with other Local Authorities, government agencies and Central Government as required.</w:t>
            </w:r>
          </w:p>
        </w:tc>
      </w:tr>
      <w:tr w:rsidR="001C2894" w14:paraId="3B1300D7" w14:textId="77777777" w:rsidTr="004F1789">
        <w:trPr>
          <w:trHeight w:val="1415"/>
        </w:trPr>
        <w:tc>
          <w:tcPr>
            <w:tcW w:w="571"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10064" w:type="dxa"/>
          </w:tcPr>
          <w:p w14:paraId="5A622663" w14:textId="614EDA88" w:rsidR="00052799" w:rsidRPr="00724226" w:rsidRDefault="001F7B9C" w:rsidP="00052799">
            <w:pPr>
              <w:tabs>
                <w:tab w:val="center" w:pos="4153"/>
                <w:tab w:val="right" w:pos="8306"/>
              </w:tabs>
              <w:rPr>
                <w:rFonts w:cstheme="minorHAnsi"/>
              </w:rPr>
            </w:pPr>
            <w:r>
              <w:rPr>
                <w:rFonts w:cstheme="minorHAnsi"/>
                <w:b/>
                <w:bCs/>
                <w:color w:val="000000" w:themeColor="text1"/>
              </w:rPr>
              <w:t>Financial</w:t>
            </w:r>
            <w:r w:rsidR="00C517CB">
              <w:rPr>
                <w:rFonts w:cstheme="minorHAnsi"/>
                <w:b/>
                <w:bCs/>
                <w:color w:val="000000" w:themeColor="text1"/>
              </w:rPr>
              <w:t xml:space="preserve">, contract and risk management </w:t>
            </w:r>
            <w:r w:rsidR="00AF2990">
              <w:rPr>
                <w:rFonts w:cstheme="minorHAnsi"/>
                <w:b/>
                <w:bCs/>
                <w:color w:val="000000" w:themeColor="text1"/>
              </w:rPr>
              <w:t>–</w:t>
            </w:r>
            <w:r w:rsidR="00C517CB">
              <w:rPr>
                <w:rFonts w:cstheme="minorHAnsi"/>
                <w:b/>
                <w:bCs/>
                <w:color w:val="000000" w:themeColor="text1"/>
              </w:rPr>
              <w:t xml:space="preserve"> </w:t>
            </w:r>
            <w:r w:rsidR="00AF2990" w:rsidRPr="004F1789">
              <w:rPr>
                <w:rFonts w:cstheme="minorHAnsi"/>
                <w:color w:val="000000" w:themeColor="text1"/>
              </w:rPr>
              <w:t xml:space="preserve">Responsible </w:t>
            </w:r>
            <w:r w:rsidR="0066716A" w:rsidRPr="004F1789">
              <w:rPr>
                <w:rFonts w:cstheme="minorHAnsi"/>
                <w:color w:val="000000" w:themeColor="text1"/>
              </w:rPr>
              <w:t>for planning</w:t>
            </w:r>
            <w:r w:rsidR="00AB194C" w:rsidRPr="004F1789">
              <w:rPr>
                <w:rFonts w:cstheme="minorHAnsi"/>
                <w:color w:val="000000" w:themeColor="text1"/>
              </w:rPr>
              <w:t xml:space="preserve"> and monitoring Economic Development </w:t>
            </w:r>
            <w:r w:rsidR="00EA1A27" w:rsidRPr="004F1789">
              <w:rPr>
                <w:rFonts w:cstheme="minorHAnsi"/>
                <w:color w:val="000000" w:themeColor="text1"/>
              </w:rPr>
              <w:t>budget</w:t>
            </w:r>
            <w:r w:rsidR="00285927" w:rsidRPr="004F1789">
              <w:rPr>
                <w:rFonts w:cstheme="minorHAnsi"/>
                <w:color w:val="000000" w:themeColor="text1"/>
              </w:rPr>
              <w:t xml:space="preserve">s </w:t>
            </w:r>
            <w:r w:rsidR="00466E54" w:rsidRPr="004F1789">
              <w:rPr>
                <w:rFonts w:cstheme="minorHAnsi"/>
                <w:color w:val="000000" w:themeColor="text1"/>
              </w:rPr>
              <w:t>in line with relevant Council policies.</w:t>
            </w:r>
            <w:r w:rsidR="00052799" w:rsidRPr="004F1789">
              <w:rPr>
                <w:rFonts w:cstheme="minorHAnsi"/>
                <w:color w:val="000000" w:themeColor="text1"/>
              </w:rPr>
              <w:t xml:space="preserve"> </w:t>
            </w:r>
            <w:r w:rsidR="00052799" w:rsidRPr="00DB4038">
              <w:rPr>
                <w:rFonts w:cstheme="minorHAnsi"/>
              </w:rPr>
              <w:t>Identify potential efficiency savings/gains within the service and take action to realise these in order to maintain the ongoing drive towards continuous service improvement.</w:t>
            </w:r>
          </w:p>
          <w:p w14:paraId="084E334F" w14:textId="02678AFF" w:rsidR="001C2894" w:rsidRDefault="001C2894" w:rsidP="00D72A65">
            <w:pPr>
              <w:rPr>
                <w:rFonts w:cstheme="minorHAnsi"/>
                <w:b/>
                <w:bCs/>
                <w:color w:val="000000" w:themeColor="text1"/>
              </w:rPr>
            </w:pPr>
          </w:p>
        </w:tc>
      </w:tr>
      <w:tr w:rsidR="001C2894" w14:paraId="58126D46" w14:textId="77777777" w:rsidTr="004F1789">
        <w:trPr>
          <w:trHeight w:val="1129"/>
        </w:trPr>
        <w:tc>
          <w:tcPr>
            <w:tcW w:w="571"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lastRenderedPageBreak/>
              <w:t>6.</w:t>
            </w:r>
          </w:p>
        </w:tc>
        <w:tc>
          <w:tcPr>
            <w:tcW w:w="10064" w:type="dxa"/>
          </w:tcPr>
          <w:p w14:paraId="1518160B" w14:textId="5CA55E57" w:rsidR="001C2894" w:rsidRDefault="006E2F7B" w:rsidP="00D72A65">
            <w:pPr>
              <w:rPr>
                <w:rFonts w:cstheme="minorHAnsi"/>
                <w:b/>
                <w:bCs/>
                <w:color w:val="000000" w:themeColor="text1"/>
              </w:rPr>
            </w:pPr>
            <w:r>
              <w:rPr>
                <w:rFonts w:cstheme="minorHAnsi"/>
                <w:b/>
                <w:bCs/>
                <w:color w:val="000000" w:themeColor="text1"/>
              </w:rPr>
              <w:t xml:space="preserve">Project and Programme delivery </w:t>
            </w:r>
            <w:r w:rsidR="00896CD7">
              <w:rPr>
                <w:rFonts w:cstheme="minorHAnsi"/>
                <w:b/>
                <w:bCs/>
                <w:color w:val="000000" w:themeColor="text1"/>
              </w:rPr>
              <w:t>–</w:t>
            </w:r>
            <w:r>
              <w:rPr>
                <w:rFonts w:cstheme="minorHAnsi"/>
                <w:b/>
                <w:bCs/>
                <w:color w:val="000000" w:themeColor="text1"/>
              </w:rPr>
              <w:t xml:space="preserve"> </w:t>
            </w:r>
            <w:r w:rsidR="00E25A64" w:rsidRPr="004F1789">
              <w:rPr>
                <w:rFonts w:cstheme="minorHAnsi"/>
                <w:color w:val="000000" w:themeColor="text1"/>
              </w:rPr>
              <w:t>Manage day to day</w:t>
            </w:r>
            <w:r w:rsidR="00896CD7" w:rsidRPr="004F1789">
              <w:rPr>
                <w:rFonts w:cstheme="minorHAnsi"/>
                <w:color w:val="000000" w:themeColor="text1"/>
              </w:rPr>
              <w:t xml:space="preserve"> delivery of </w:t>
            </w:r>
            <w:r w:rsidR="00B87030" w:rsidRPr="004F1789">
              <w:rPr>
                <w:rFonts w:cstheme="minorHAnsi"/>
                <w:color w:val="000000" w:themeColor="text1"/>
              </w:rPr>
              <w:t xml:space="preserve">projects and programmes related to Economic Development and Inward Investment within the Milton Keynes City area. </w:t>
            </w:r>
            <w:r w:rsidR="009A41FE" w:rsidRPr="004F1789">
              <w:rPr>
                <w:rFonts w:cstheme="minorHAnsi"/>
                <w:color w:val="000000" w:themeColor="text1"/>
              </w:rPr>
              <w:t>Provide advice</w:t>
            </w:r>
            <w:r w:rsidR="008D0249" w:rsidRPr="004F1789">
              <w:rPr>
                <w:rFonts w:cstheme="minorHAnsi"/>
                <w:color w:val="000000" w:themeColor="text1"/>
              </w:rPr>
              <w:t xml:space="preserve"> and guidance</w:t>
            </w:r>
            <w:r w:rsidR="009A41FE" w:rsidRPr="004F1789">
              <w:rPr>
                <w:rFonts w:cstheme="minorHAnsi"/>
                <w:color w:val="000000" w:themeColor="text1"/>
              </w:rPr>
              <w:t xml:space="preserve"> to internal colleagues regarding economic </w:t>
            </w:r>
            <w:r w:rsidR="008D0249" w:rsidRPr="004F1789">
              <w:rPr>
                <w:rFonts w:cstheme="minorHAnsi"/>
                <w:color w:val="000000" w:themeColor="text1"/>
              </w:rPr>
              <w:t>matters for consideration in delivery of key corporate projects</w:t>
            </w:r>
            <w:r w:rsidR="006C13A4" w:rsidRPr="004F1789">
              <w:rPr>
                <w:rFonts w:cstheme="minorHAnsi"/>
                <w:color w:val="000000" w:themeColor="text1"/>
              </w:rPr>
              <w:t>, in particular the development of the New City Plan</w:t>
            </w:r>
            <w:r w:rsidR="008D0249" w:rsidRPr="004F1789">
              <w:rPr>
                <w:rFonts w:cstheme="minorHAnsi"/>
                <w:color w:val="000000" w:themeColor="text1"/>
              </w:rPr>
              <w:t>.</w:t>
            </w:r>
            <w:r w:rsidR="00586800" w:rsidRPr="004F1789">
              <w:rPr>
                <w:rFonts w:cstheme="minorHAnsi"/>
                <w:color w:val="000000" w:themeColor="text1"/>
              </w:rPr>
              <w:t xml:space="preserve"> Develop </w:t>
            </w:r>
            <w:r w:rsidR="00B32EDD" w:rsidRPr="004F1789">
              <w:rPr>
                <w:rFonts w:cstheme="minorHAnsi"/>
                <w:color w:val="000000" w:themeColor="text1"/>
              </w:rPr>
              <w:t>new projects and programmes as</w:t>
            </w:r>
            <w:r w:rsidR="00B32EDD">
              <w:rPr>
                <w:rFonts w:cstheme="minorHAnsi"/>
                <w:b/>
                <w:bCs/>
                <w:color w:val="000000" w:themeColor="text1"/>
              </w:rPr>
              <w:t xml:space="preserve"> </w:t>
            </w:r>
            <w:r w:rsidR="00DB4038" w:rsidRPr="004F1789">
              <w:rPr>
                <w:rFonts w:cstheme="minorHAnsi"/>
                <w:color w:val="000000" w:themeColor="text1"/>
              </w:rPr>
              <w:t>required.</w:t>
            </w:r>
          </w:p>
        </w:tc>
      </w:tr>
    </w:tbl>
    <w:p w14:paraId="21767958" w14:textId="77777777" w:rsidR="00DB4038" w:rsidRDefault="00DB4038" w:rsidP="001B4BCF">
      <w:pPr>
        <w:jc w:val="center"/>
        <w:rPr>
          <w:rFonts w:cstheme="minorHAnsi"/>
          <w:i/>
          <w:iCs/>
          <w:color w:val="000000" w:themeColor="text1"/>
        </w:rPr>
      </w:pPr>
    </w:p>
    <w:p w14:paraId="6A19CE67" w14:textId="069BC8E4"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3E5C6B5B" w14:textId="1617AC17" w:rsidR="00B03069" w:rsidRDefault="00973246" w:rsidP="00B03069">
            <w:pPr>
              <w:rPr>
                <w:color w:val="000000"/>
              </w:rPr>
            </w:pPr>
            <w:r w:rsidRPr="0066013B">
              <w:rPr>
                <w:color w:val="000000"/>
              </w:rPr>
              <w:t xml:space="preserve">At least two years' </w:t>
            </w:r>
            <w:r>
              <w:rPr>
                <w:color w:val="000000"/>
              </w:rPr>
              <w:t xml:space="preserve">management </w:t>
            </w:r>
            <w:r w:rsidRPr="0066013B">
              <w:rPr>
                <w:color w:val="000000"/>
              </w:rPr>
              <w:t xml:space="preserve">experience in local government - preferably in a unitary, metropolitan or London borough </w:t>
            </w:r>
            <w:r w:rsidR="00F43A01">
              <w:rPr>
                <w:color w:val="000000"/>
              </w:rPr>
              <w:t>–</w:t>
            </w:r>
            <w:r w:rsidRPr="0066013B">
              <w:rPr>
                <w:color w:val="000000"/>
              </w:rPr>
              <w:t xml:space="preserve"> </w:t>
            </w:r>
            <w:r w:rsidR="00F43A01">
              <w:rPr>
                <w:color w:val="000000"/>
              </w:rPr>
              <w:t xml:space="preserve">or </w:t>
            </w:r>
            <w:r w:rsidR="00653412">
              <w:rPr>
                <w:color w:val="000000"/>
              </w:rPr>
              <w:t>equivalent in</w:t>
            </w:r>
            <w:r w:rsidR="00AF359D">
              <w:rPr>
                <w:color w:val="000000"/>
              </w:rPr>
              <w:t xml:space="preserve"> central government</w:t>
            </w:r>
            <w:r w:rsidR="00653412">
              <w:rPr>
                <w:color w:val="000000"/>
              </w:rPr>
              <w:t xml:space="preserve"> departments or relevant private sector organisations -</w:t>
            </w:r>
            <w:r w:rsidR="00AF359D">
              <w:rPr>
                <w:color w:val="000000"/>
              </w:rPr>
              <w:t xml:space="preserve"> </w:t>
            </w:r>
            <w:r w:rsidRPr="0066013B">
              <w:rPr>
                <w:color w:val="000000"/>
              </w:rPr>
              <w:t>with skills in understanding and responding to different perspectives and taking a cross-organisational perspective</w:t>
            </w:r>
            <w:r w:rsidR="008558F0">
              <w:rPr>
                <w:color w:val="000000"/>
              </w:rPr>
              <w:t xml:space="preserve">. </w:t>
            </w:r>
            <w:r w:rsidR="00B03069">
              <w:rPr>
                <w:color w:val="000000"/>
              </w:rPr>
              <w:t>E</w:t>
            </w:r>
            <w:r w:rsidR="00B03069" w:rsidRPr="0066013B">
              <w:rPr>
                <w:color w:val="000000"/>
              </w:rPr>
              <w:t>xperience of</w:t>
            </w:r>
            <w:r w:rsidR="00B03069">
              <w:rPr>
                <w:color w:val="000000"/>
              </w:rPr>
              <w:t xml:space="preserve"> management,</w:t>
            </w:r>
            <w:r w:rsidR="00B03069" w:rsidRPr="0066013B">
              <w:rPr>
                <w:color w:val="000000"/>
              </w:rPr>
              <w:t xml:space="preserve"> </w:t>
            </w:r>
            <w:r w:rsidR="00B03069">
              <w:rPr>
                <w:color w:val="000000"/>
              </w:rPr>
              <w:t>p</w:t>
            </w:r>
            <w:r w:rsidR="00B03069" w:rsidRPr="0066013B">
              <w:rPr>
                <w:color w:val="000000"/>
              </w:rPr>
              <w:t>erformance management and improvement with a demonstrable record of achievement</w:t>
            </w:r>
            <w:r w:rsidR="00B03069">
              <w:rPr>
                <w:color w:val="000000"/>
              </w:rPr>
              <w:t xml:space="preserve">, </w:t>
            </w:r>
            <w:r w:rsidR="00B03069" w:rsidRPr="0066013B">
              <w:rPr>
                <w:color w:val="000000"/>
              </w:rPr>
              <w:t>includ</w:t>
            </w:r>
            <w:r w:rsidR="00B03069">
              <w:rPr>
                <w:color w:val="000000"/>
              </w:rPr>
              <w:t>ing</w:t>
            </w:r>
            <w:r w:rsidR="00B03069" w:rsidRPr="0066013B">
              <w:rPr>
                <w:color w:val="000000"/>
              </w:rPr>
              <w:t xml:space="preserve"> developing and implementing </w:t>
            </w:r>
            <w:r w:rsidR="00B03069">
              <w:rPr>
                <w:color w:val="000000"/>
              </w:rPr>
              <w:t xml:space="preserve">project and </w:t>
            </w:r>
            <w:r w:rsidR="00B03069" w:rsidRPr="0066013B">
              <w:rPr>
                <w:color w:val="000000"/>
              </w:rPr>
              <w:t>performance frameworks in a multi-disciplinary, partnership environment.</w:t>
            </w:r>
          </w:p>
          <w:p w14:paraId="053AF04F" w14:textId="7A8F4EA2" w:rsidR="001C2894" w:rsidRDefault="001C2894" w:rsidP="00892352">
            <w:pPr>
              <w:rPr>
                <w:rFonts w:cstheme="minorHAnsi"/>
                <w:b/>
                <w:bCs/>
                <w:color w:val="000000" w:themeColor="text1"/>
              </w:rPr>
            </w:pP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223060CF" w14:textId="70A1198C" w:rsidR="008E41A6" w:rsidRDefault="008E41A6" w:rsidP="008E41A6">
            <w:pPr>
              <w:rPr>
                <w:color w:val="000000"/>
              </w:rPr>
            </w:pPr>
            <w:r w:rsidRPr="0066013B">
              <w:rPr>
                <w:color w:val="000000"/>
              </w:rPr>
              <w:t>Educated to degree level or equivalent or comparable attainment by experience</w:t>
            </w:r>
            <w:r>
              <w:rPr>
                <w:color w:val="000000"/>
              </w:rPr>
              <w:t xml:space="preserve"> with e</w:t>
            </w:r>
            <w:r w:rsidRPr="0066013B">
              <w:rPr>
                <w:color w:val="000000"/>
              </w:rPr>
              <w:t>vidence of continuous professional development.</w:t>
            </w:r>
            <w:r w:rsidR="009D3CA2">
              <w:rPr>
                <w:color w:val="000000"/>
              </w:rPr>
              <w:t xml:space="preserve"> </w:t>
            </w:r>
          </w:p>
          <w:p w14:paraId="4FF43EDF" w14:textId="77777777" w:rsidR="001C2894" w:rsidRDefault="001C2894" w:rsidP="00892352">
            <w:pPr>
              <w:rPr>
                <w:rFonts w:cstheme="minorHAnsi"/>
                <w:b/>
                <w:bCs/>
                <w:color w:val="000000" w:themeColor="text1"/>
              </w:rPr>
            </w:pP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FBE2E82" w:rsidR="00B03069" w:rsidRPr="004F1789" w:rsidRDefault="0037549A" w:rsidP="0037549A">
            <w:pPr>
              <w:rPr>
                <w:rFonts w:cstheme="minorHAnsi"/>
                <w:color w:val="000000" w:themeColor="text1"/>
              </w:rPr>
            </w:pPr>
            <w:r w:rsidRPr="004F1789">
              <w:rPr>
                <w:rFonts w:cstheme="minorHAnsi"/>
                <w:color w:val="000000" w:themeColor="text1"/>
              </w:rPr>
              <w:t>Experience of Economic Development and Inward Investment</w:t>
            </w:r>
            <w:r w:rsidR="00FB2EFD" w:rsidRPr="004F1789">
              <w:rPr>
                <w:rFonts w:cstheme="minorHAnsi"/>
                <w:color w:val="000000" w:themeColor="text1"/>
              </w:rPr>
              <w:t xml:space="preserve">, with an evidenced track record of securing </w:t>
            </w:r>
            <w:r w:rsidR="00B03069" w:rsidRPr="004F1789">
              <w:rPr>
                <w:rFonts w:cstheme="minorHAnsi"/>
                <w:color w:val="000000" w:themeColor="text1"/>
              </w:rPr>
              <w:t>investment decisions</w:t>
            </w:r>
            <w:r w:rsidR="00BB1D33" w:rsidRPr="004F1789">
              <w:rPr>
                <w:rFonts w:cstheme="minorHAnsi"/>
                <w:color w:val="000000" w:themeColor="text1"/>
              </w:rPr>
              <w:t xml:space="preserve"> from either public or private sector experience</w:t>
            </w:r>
            <w:r w:rsidR="00B03069" w:rsidRPr="004F1789">
              <w:rPr>
                <w:rFonts w:cstheme="minorHAnsi"/>
                <w:color w:val="000000" w:themeColor="text1"/>
              </w:rPr>
              <w:t>.</w:t>
            </w:r>
            <w:r w:rsidRPr="004F1789">
              <w:rPr>
                <w:rFonts w:cstheme="minorHAnsi"/>
                <w:color w:val="000000" w:themeColor="text1"/>
              </w:rPr>
              <w:t xml:space="preserve"> </w:t>
            </w:r>
            <w:r w:rsidR="00DB4038">
              <w:rPr>
                <w:rFonts w:cstheme="minorHAnsi"/>
                <w:color w:val="000000" w:themeColor="text1"/>
              </w:rPr>
              <w:br/>
            </w:r>
            <w:r w:rsidR="00A35B90" w:rsidRPr="004F1789">
              <w:rPr>
                <w:rFonts w:cstheme="minorHAnsi"/>
                <w:color w:val="000000" w:themeColor="text1"/>
              </w:rPr>
              <w:t>De</w:t>
            </w:r>
            <w:r w:rsidR="00BB1D33" w:rsidRPr="004F1789">
              <w:rPr>
                <w:rFonts w:cstheme="minorHAnsi"/>
                <w:color w:val="000000" w:themeColor="text1"/>
              </w:rPr>
              <w:t>monstrable</w:t>
            </w:r>
            <w:r w:rsidR="00A35B90" w:rsidRPr="004F1789">
              <w:rPr>
                <w:rFonts w:cstheme="minorHAnsi"/>
                <w:color w:val="000000" w:themeColor="text1"/>
              </w:rPr>
              <w:t xml:space="preserve"> understanding of these disciplines in a Local Authority Context.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1463E369" w14:textId="5D135FCD" w:rsidR="0037549A" w:rsidRDefault="0037549A" w:rsidP="0037549A">
            <w:pPr>
              <w:rPr>
                <w:color w:val="000000"/>
              </w:rPr>
            </w:pPr>
            <w:r w:rsidRPr="0066013B">
              <w:rPr>
                <w:color w:val="000000"/>
              </w:rPr>
              <w:t>Practical evidence of developing and maintaining good working relationships with a wide range of external stakeholders, partners and customers, developing a positive personal and organisational profile, building relationships. To include</w:t>
            </w:r>
            <w:r w:rsidR="00D51851">
              <w:rPr>
                <w:color w:val="000000"/>
              </w:rPr>
              <w:t xml:space="preserve"> evidence of</w:t>
            </w:r>
            <w:r w:rsidRPr="0066013B">
              <w:rPr>
                <w:color w:val="000000"/>
              </w:rPr>
              <w:t xml:space="preserve"> influencing policy agendas at </w:t>
            </w:r>
            <w:r>
              <w:rPr>
                <w:color w:val="000000"/>
              </w:rPr>
              <w:t xml:space="preserve">regional and </w:t>
            </w:r>
            <w:r w:rsidRPr="0066013B">
              <w:rPr>
                <w:color w:val="000000"/>
              </w:rPr>
              <w:t xml:space="preserve">national government </w:t>
            </w:r>
            <w:r>
              <w:rPr>
                <w:color w:val="000000"/>
              </w:rPr>
              <w:t>levels.</w:t>
            </w:r>
          </w:p>
          <w:p w14:paraId="209F9E13" w14:textId="77777777" w:rsidR="001C2894" w:rsidRDefault="001C2894" w:rsidP="0037549A">
            <w:pPr>
              <w:rPr>
                <w:rFonts w:cstheme="minorHAnsi"/>
                <w:b/>
                <w:bCs/>
                <w:color w:val="000000" w:themeColor="text1"/>
              </w:rPr>
            </w:pP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407CD6E3" w:rsidR="001C2894" w:rsidRPr="004F1789" w:rsidRDefault="00B03069" w:rsidP="00B03069">
            <w:pPr>
              <w:rPr>
                <w:rFonts w:cstheme="minorHAnsi"/>
                <w:color w:val="000000" w:themeColor="text1"/>
              </w:rPr>
            </w:pPr>
            <w:r w:rsidRPr="004F1789">
              <w:rPr>
                <w:rFonts w:cstheme="minorHAnsi"/>
                <w:color w:val="000000" w:themeColor="text1"/>
              </w:rPr>
              <w:t>First rate communication</w:t>
            </w:r>
            <w:r w:rsidR="00653412" w:rsidRPr="004F1789">
              <w:rPr>
                <w:rFonts w:cstheme="minorHAnsi"/>
                <w:color w:val="000000" w:themeColor="text1"/>
              </w:rPr>
              <w:t xml:space="preserve">, </w:t>
            </w:r>
            <w:r w:rsidR="00F905A8" w:rsidRPr="004F1789">
              <w:rPr>
                <w:rFonts w:cstheme="minorHAnsi"/>
                <w:color w:val="000000" w:themeColor="text1"/>
              </w:rPr>
              <w:t>negotiation</w:t>
            </w:r>
            <w:r w:rsidR="0033207B" w:rsidRPr="004F1789">
              <w:rPr>
                <w:rFonts w:cstheme="minorHAnsi"/>
                <w:color w:val="000000" w:themeColor="text1"/>
              </w:rPr>
              <w:t xml:space="preserve"> and </w:t>
            </w:r>
            <w:r w:rsidR="00653412" w:rsidRPr="004F1789">
              <w:rPr>
                <w:rFonts w:cstheme="minorHAnsi"/>
                <w:color w:val="000000" w:themeColor="text1"/>
              </w:rPr>
              <w:t xml:space="preserve">influencing </w:t>
            </w:r>
            <w:r w:rsidRPr="004F1789">
              <w:rPr>
                <w:rFonts w:cstheme="minorHAnsi"/>
                <w:color w:val="000000" w:themeColor="text1"/>
              </w:rPr>
              <w:t>skills</w:t>
            </w:r>
            <w:r w:rsidR="00071110" w:rsidRPr="004F1789">
              <w:rPr>
                <w:rFonts w:cstheme="minorHAnsi"/>
                <w:color w:val="000000" w:themeColor="text1"/>
              </w:rPr>
              <w:t xml:space="preserve">. High level of political </w:t>
            </w:r>
            <w:r w:rsidR="006A568F" w:rsidRPr="004F1789">
              <w:rPr>
                <w:rFonts w:cstheme="minorHAnsi"/>
                <w:color w:val="000000" w:themeColor="text1"/>
              </w:rPr>
              <w:t xml:space="preserve">awareness. </w:t>
            </w:r>
          </w:p>
        </w:tc>
      </w:tr>
      <w:tr w:rsidR="00365244" w14:paraId="59DB68B1" w14:textId="77777777" w:rsidTr="00892352">
        <w:tc>
          <w:tcPr>
            <w:tcW w:w="562" w:type="dxa"/>
          </w:tcPr>
          <w:p w14:paraId="1D5524BE" w14:textId="3C058CA6" w:rsidR="00365244" w:rsidRDefault="00365244" w:rsidP="00892352">
            <w:pPr>
              <w:rPr>
                <w:rFonts w:cstheme="minorHAnsi"/>
                <w:b/>
                <w:bCs/>
                <w:color w:val="000000" w:themeColor="text1"/>
              </w:rPr>
            </w:pPr>
            <w:r>
              <w:rPr>
                <w:rFonts w:cstheme="minorHAnsi"/>
                <w:b/>
                <w:bCs/>
                <w:color w:val="000000" w:themeColor="text1"/>
              </w:rPr>
              <w:t>6.</w:t>
            </w:r>
          </w:p>
        </w:tc>
        <w:tc>
          <w:tcPr>
            <w:tcW w:w="9894" w:type="dxa"/>
          </w:tcPr>
          <w:p w14:paraId="666F60A4" w14:textId="15E40734" w:rsidR="00365244" w:rsidRPr="004F1789" w:rsidRDefault="00365244" w:rsidP="00B03069">
            <w:pPr>
              <w:rPr>
                <w:rFonts w:cstheme="minorHAnsi"/>
                <w:color w:val="000000" w:themeColor="text1"/>
              </w:rPr>
            </w:pPr>
            <w:r w:rsidRPr="004F1789">
              <w:rPr>
                <w:rFonts w:cstheme="minorHAnsi"/>
                <w:color w:val="000000" w:themeColor="text1"/>
              </w:rPr>
              <w:t>Experience leading and developing funding bids, related business plans and effective management of project delivery. Developed understanding of place promotion within a Local Authority context.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1F900FF5" w14:textId="77777777" w:rsidR="00404D37" w:rsidRPr="00F77A6D" w:rsidRDefault="00404D37" w:rsidP="00404D37">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63363" behindDoc="0" locked="0" layoutInCell="1" allowOverlap="1" wp14:anchorId="74C0DC94" wp14:editId="68A77645">
                <wp:simplePos x="0" y="0"/>
                <wp:positionH relativeFrom="margin">
                  <wp:align>right</wp:align>
                </wp:positionH>
                <wp:positionV relativeFrom="paragraph">
                  <wp:posOffset>4158</wp:posOffset>
                </wp:positionV>
                <wp:extent cx="6496050" cy="1191296"/>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191296"/>
                        </a:xfrm>
                        <a:prstGeom prst="rect">
                          <a:avLst/>
                        </a:prstGeom>
                        <a:noFill/>
                      </wps:spPr>
                      <wps:txbx>
                        <w:txbxContent>
                          <w:p w14:paraId="45498FB8" w14:textId="77777777" w:rsidR="00404D37" w:rsidRDefault="00404D37" w:rsidP="00404D37">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321B6980" w14:textId="77777777" w:rsidR="00404D37" w:rsidRDefault="00404D37" w:rsidP="00404D37">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60AB1D4D" w14:textId="77777777" w:rsidR="00404D37" w:rsidRPr="00EC3018" w:rsidRDefault="00404D37" w:rsidP="00404D37">
                            <w:pPr>
                              <w:shd w:val="clear" w:color="auto" w:fill="008996"/>
                              <w:spacing w:after="0" w:line="240" w:lineRule="auto"/>
                              <w:contextualSpacing/>
                              <w:rPr>
                                <w:sz w:val="6"/>
                                <w:szCs w:val="6"/>
                              </w:rPr>
                            </w:pPr>
                            <w:r>
                              <w:rPr>
                                <w:rFonts w:hAnsi="Calibri"/>
                                <w:color w:val="FFFFFF" w:themeColor="background1"/>
                                <w:kern w:val="24"/>
                                <w:sz w:val="24"/>
                                <w:szCs w:val="24"/>
                              </w:rPr>
                              <w:t>Grade 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C0DC94" id="_x0000_s1027" type="#_x0000_t202" style="position:absolute;margin-left:460.3pt;margin-top:.35pt;width:511.5pt;height:93.8pt;z-index:2516633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" filled="f" stroked="f">
                <v:textbox>
                  <w:txbxContent>
                    <w:p w14:paraId="45498FB8" w14:textId="77777777" w:rsidR="00404D37" w:rsidRDefault="00404D37" w:rsidP="00404D37">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321B6980" w14:textId="77777777" w:rsidR="00404D37" w:rsidRDefault="00404D37" w:rsidP="00404D37">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60AB1D4D" w14:textId="77777777" w:rsidR="00404D37" w:rsidRPr="00EC3018" w:rsidRDefault="00404D37" w:rsidP="00404D37">
                      <w:pPr>
                        <w:shd w:val="clear" w:color="auto" w:fill="008996"/>
                        <w:spacing w:after="0" w:line="240" w:lineRule="auto"/>
                        <w:contextualSpacing/>
                        <w:rPr>
                          <w:sz w:val="6"/>
                          <w:szCs w:val="6"/>
                        </w:rPr>
                      </w:pPr>
                      <w:r>
                        <w:rPr>
                          <w:rFonts w:hAnsi="Calibri"/>
                          <w:color w:val="FFFFFF" w:themeColor="background1"/>
                          <w:kern w:val="24"/>
                          <w:sz w:val="24"/>
                          <w:szCs w:val="24"/>
                        </w:rPr>
                        <w:t>Grade J</w:t>
                      </w:r>
                    </w:p>
                  </w:txbxContent>
                </v:textbox>
                <w10:wrap anchorx="margin"/>
              </v:shape>
            </w:pict>
          </mc:Fallback>
        </mc:AlternateContent>
      </w:r>
      <w:r>
        <w:rPr>
          <w:noProof/>
        </w:rPr>
        <w:drawing>
          <wp:anchor distT="0" distB="0" distL="114300" distR="114300" simplePos="0" relativeHeight="251664387" behindDoc="0" locked="0" layoutInCell="1" allowOverlap="1" wp14:anchorId="5F3E4AE9" wp14:editId="73CCA44F">
            <wp:simplePos x="0" y="0"/>
            <wp:positionH relativeFrom="column">
              <wp:posOffset>4410075</wp:posOffset>
            </wp:positionH>
            <wp:positionV relativeFrom="paragraph">
              <wp:posOffset>133350</wp:posOffset>
            </wp:positionV>
            <wp:extent cx="2159635" cy="539071"/>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AE713" w14:textId="36F0E9A6" w:rsidR="00F77A6D" w:rsidRPr="00F77A6D" w:rsidRDefault="00DF1A9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56193" behindDoc="0" locked="0" layoutInCell="1" allowOverlap="1" wp14:anchorId="4ED70BFE" wp14:editId="534053AE">
            <wp:simplePos x="0" y="0"/>
            <wp:positionH relativeFrom="column">
              <wp:posOffset>4410075</wp:posOffset>
            </wp:positionH>
            <wp:positionV relativeFrom="paragraph">
              <wp:posOffset>133350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710FE3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CC73DF">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01F5C9DF" w:rsidR="00AB0A09" w:rsidRDefault="00AB0A09" w:rsidP="007A4DFB">
      <w:pPr>
        <w:pStyle w:val="Heading3"/>
        <w:spacing w:before="0"/>
        <w:jc w:val="both"/>
      </w:pPr>
      <w:r>
        <w:t xml:space="preserve">Role </w:t>
      </w:r>
      <w:r w:rsidR="00CC73DF">
        <w:t>c</w:t>
      </w:r>
      <w:r>
        <w:t>haracteristics</w:t>
      </w:r>
    </w:p>
    <w:p w14:paraId="372B11FE" w14:textId="77777777" w:rsidR="00DF7F38" w:rsidRDefault="00DF7F38" w:rsidP="007A4DFB">
      <w:pPr>
        <w:pStyle w:val="BodyText"/>
        <w:jc w:val="both"/>
        <w:rPr>
          <w:rFonts w:asciiTheme="minorHAnsi" w:hAnsiTheme="minorHAnsi" w:cstheme="minorHAnsi"/>
        </w:rPr>
      </w:pPr>
    </w:p>
    <w:p w14:paraId="7221E7E5" w14:textId="4D4E1879" w:rsidR="00361D02" w:rsidRDefault="00361D02" w:rsidP="007A4DFB">
      <w:pPr>
        <w:pStyle w:val="BodyText"/>
        <w:jc w:val="both"/>
      </w:pPr>
      <w:r>
        <w:t>At this level job holders usually report to a Head of Service and are responsible for the development and implementation of strategy relating to a whole function within that Service.</w:t>
      </w:r>
      <w:r w:rsidR="00794056">
        <w:t xml:space="preserve"> </w:t>
      </w:r>
      <w:r>
        <w:t>Posts carry significant responsibilities for finance and a range of other non-financial assets and job holders will make autonomous decisions and lead the management of change throughout their functional area.</w:t>
      </w:r>
    </w:p>
    <w:p w14:paraId="6C14C693" w14:textId="3E3F2DC6" w:rsidR="009C58DB" w:rsidRDefault="00E47798" w:rsidP="007A4DFB">
      <w:pPr>
        <w:pStyle w:val="BodyText"/>
        <w:jc w:val="both"/>
      </w:pPr>
      <w:r>
        <w:tab/>
      </w:r>
    </w:p>
    <w:p w14:paraId="4C62F75E" w14:textId="480DB718" w:rsidR="005127DC" w:rsidRDefault="00EE040A">
      <w:pPr>
        <w:pStyle w:val="Heading3"/>
        <w:spacing w:before="0"/>
        <w:jc w:val="both"/>
      </w:pPr>
      <w:r>
        <w:t xml:space="preserve">The </w:t>
      </w:r>
      <w:r w:rsidR="00CC73DF">
        <w:t>k</w:t>
      </w:r>
      <w:r w:rsidR="00AB0A09" w:rsidRPr="00585845">
        <w:t>nowledge and skills required</w:t>
      </w:r>
    </w:p>
    <w:p w14:paraId="33156F72" w14:textId="77777777" w:rsidR="00DF7F38" w:rsidRDefault="00DF7F38" w:rsidP="007A4DFB">
      <w:pPr>
        <w:pStyle w:val="BodyText"/>
        <w:jc w:val="both"/>
        <w:rPr>
          <w:rFonts w:asciiTheme="minorHAnsi" w:hAnsiTheme="minorHAnsi" w:cstheme="minorHAnsi"/>
        </w:rPr>
      </w:pPr>
    </w:p>
    <w:p w14:paraId="7C4E1986" w14:textId="77777777" w:rsidR="00361D02" w:rsidRDefault="00361D02" w:rsidP="007A4DFB">
      <w:pPr>
        <w:pStyle w:val="BodyText"/>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36DBE1E2" w14:textId="77777777" w:rsidR="00DF7F38" w:rsidRDefault="00DF7F38" w:rsidP="007A4DFB">
      <w:pPr>
        <w:pStyle w:val="Heading3"/>
        <w:spacing w:before="0"/>
        <w:jc w:val="both"/>
        <w:rPr>
          <w:bCs/>
          <w:color w:val="000000" w:themeColor="text1"/>
        </w:rPr>
      </w:pPr>
    </w:p>
    <w:p w14:paraId="7BA54DA4" w14:textId="1F14FF89" w:rsidR="00AB0A09" w:rsidRDefault="00AB0A09" w:rsidP="007A4DFB">
      <w:pPr>
        <w:pStyle w:val="Heading3"/>
        <w:spacing w:before="0"/>
        <w:jc w:val="both"/>
      </w:pPr>
      <w:r w:rsidRPr="00F77A6D">
        <w:rPr>
          <w:bCs/>
          <w:color w:val="000000" w:themeColor="text1"/>
        </w:rPr>
        <w:t xml:space="preserve">Thinking, </w:t>
      </w:r>
      <w:r w:rsidR="00CC73DF">
        <w:rPr>
          <w:bCs/>
          <w:color w:val="000000" w:themeColor="text1"/>
        </w:rPr>
        <w:t>p</w:t>
      </w:r>
      <w:r w:rsidRPr="00F77A6D">
        <w:rPr>
          <w:bCs/>
          <w:color w:val="000000" w:themeColor="text1"/>
        </w:rPr>
        <w:t xml:space="preserve">lanning and </w:t>
      </w:r>
      <w:r w:rsidR="00CC73DF">
        <w:rPr>
          <w:bCs/>
          <w:color w:val="000000" w:themeColor="text1"/>
        </w:rPr>
        <w:t>c</w:t>
      </w:r>
      <w:r w:rsidRPr="00F77A6D">
        <w:rPr>
          <w:bCs/>
          <w:color w:val="000000" w:themeColor="text1"/>
        </w:rPr>
        <w:t>ommunication</w:t>
      </w:r>
      <w:r w:rsidRPr="00585845">
        <w:t xml:space="preserve"> </w:t>
      </w:r>
    </w:p>
    <w:p w14:paraId="269CBB90" w14:textId="77777777" w:rsidR="00361D02" w:rsidRDefault="00361D02" w:rsidP="007A4DFB">
      <w:pPr>
        <w:pStyle w:val="BodyText"/>
        <w:jc w:val="both"/>
        <w:rPr>
          <w:rFonts w:asciiTheme="minorHAnsi" w:hAnsiTheme="minorHAnsi" w:cstheme="minorHAnsi"/>
        </w:rPr>
      </w:pPr>
    </w:p>
    <w:p w14:paraId="1CB82E08" w14:textId="57F68016" w:rsidR="00361D02" w:rsidRDefault="00361D02" w:rsidP="007A4DFB">
      <w:pPr>
        <w:pStyle w:val="BodyText"/>
        <w:jc w:val="both"/>
      </w:pPr>
      <w: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60CAA30D" w14:textId="77777777" w:rsidR="00361D02" w:rsidRDefault="00361D02" w:rsidP="007A4DFB">
      <w:pPr>
        <w:pStyle w:val="BodyText"/>
        <w:jc w:val="both"/>
        <w:rPr>
          <w:sz w:val="20"/>
        </w:rPr>
      </w:pPr>
    </w:p>
    <w:p w14:paraId="58DE01C3" w14:textId="0732FF08" w:rsidR="00361D02" w:rsidRDefault="00361D02" w:rsidP="007A4DFB">
      <w:pPr>
        <w:pStyle w:val="BodyText"/>
        <w:jc w:val="both"/>
      </w:pPr>
      <w:r>
        <w:t xml:space="preserve">The information exchanged at this level will be routinely complex and even contentious in nature. Job holders will, however, have additional demands placed upon them by the need to persuade others to adopt </w:t>
      </w:r>
      <w:r>
        <w:lastRenderedPageBreak/>
        <w:t xml:space="preserve">courses of action they may not otherwise wish to take, based on evidence-based and reasoned argument. This will occur in written </w:t>
      </w:r>
      <w:r w:rsidR="00CC73DF">
        <w:t>interactions but</w:t>
      </w:r>
      <w:r>
        <w:t xml:space="preserve"> can also be the case in face</w:t>
      </w:r>
      <w:r w:rsidR="00CC73DF">
        <w:t>-</w:t>
      </w:r>
      <w:r>
        <w:t>to</w:t>
      </w:r>
      <w:r w:rsidR="00CC73DF">
        <w:t>-</w:t>
      </w:r>
      <w:r>
        <w:t>face verbal exchanges where job holders will advocate a position in response to opposing opinion in a formal or informal setting.</w:t>
      </w:r>
    </w:p>
    <w:p w14:paraId="33CFB195" w14:textId="77777777" w:rsidR="00E47798" w:rsidRDefault="00E47798" w:rsidP="007A4DFB">
      <w:pPr>
        <w:pStyle w:val="BodyText"/>
        <w:jc w:val="both"/>
      </w:pPr>
    </w:p>
    <w:p w14:paraId="0DD648E7" w14:textId="1020092E" w:rsidR="00AB0A09" w:rsidRDefault="00AB0A09" w:rsidP="007A4DFB">
      <w:pPr>
        <w:pStyle w:val="BodyText"/>
        <w:jc w:val="both"/>
        <w:rPr>
          <w:b/>
          <w:bCs/>
          <w:color w:val="000000" w:themeColor="text1"/>
        </w:rPr>
      </w:pPr>
      <w:r w:rsidRPr="00F77A6D">
        <w:rPr>
          <w:b/>
          <w:bCs/>
          <w:color w:val="000000" w:themeColor="text1"/>
        </w:rPr>
        <w:t xml:space="preserve">Decision </w:t>
      </w:r>
      <w:r w:rsidR="00CC73DF">
        <w:rPr>
          <w:b/>
          <w:bCs/>
          <w:color w:val="000000" w:themeColor="text1"/>
        </w:rPr>
        <w:t>m</w:t>
      </w:r>
      <w:r w:rsidRPr="00F77A6D">
        <w:rPr>
          <w:b/>
          <w:bCs/>
          <w:color w:val="000000" w:themeColor="text1"/>
        </w:rPr>
        <w:t xml:space="preserve">aking and </w:t>
      </w:r>
      <w:r w:rsidR="00CC73DF">
        <w:rPr>
          <w:b/>
          <w:bCs/>
          <w:color w:val="000000" w:themeColor="text1"/>
        </w:rPr>
        <w:t>i</w:t>
      </w:r>
      <w:r w:rsidRPr="00F77A6D">
        <w:rPr>
          <w:b/>
          <w:bCs/>
          <w:color w:val="000000" w:themeColor="text1"/>
        </w:rPr>
        <w:t>nnovation</w:t>
      </w:r>
    </w:p>
    <w:p w14:paraId="424B7040" w14:textId="77777777" w:rsidR="003E4871" w:rsidRDefault="003E4871" w:rsidP="007A4DFB">
      <w:pPr>
        <w:pStyle w:val="BodyText"/>
        <w:jc w:val="both"/>
      </w:pPr>
    </w:p>
    <w:p w14:paraId="1BEFF668" w14:textId="77777777" w:rsidR="00361D02" w:rsidRDefault="00361D02" w:rsidP="007A4DFB">
      <w:pPr>
        <w:pStyle w:val="BodyText"/>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7A3A822C" w14:textId="77777777" w:rsidR="0012076A" w:rsidRPr="00585845" w:rsidRDefault="0012076A" w:rsidP="007A4DFB">
      <w:pPr>
        <w:pStyle w:val="BodyText"/>
        <w:jc w:val="both"/>
      </w:pPr>
    </w:p>
    <w:p w14:paraId="27CDAA7E" w14:textId="1FADF53A" w:rsidR="00AB0A09" w:rsidRPr="00585845" w:rsidRDefault="009C6B9A" w:rsidP="007A4DFB">
      <w:pPr>
        <w:pStyle w:val="Heading3"/>
        <w:spacing w:before="0"/>
        <w:jc w:val="both"/>
      </w:pPr>
      <w:r>
        <w:t>A</w:t>
      </w:r>
      <w:r w:rsidR="00AB0A09" w:rsidRPr="00585845">
        <w:t>reas of responsibility</w:t>
      </w:r>
    </w:p>
    <w:p w14:paraId="3F2E78DA" w14:textId="77777777" w:rsidR="00DF7F38" w:rsidRDefault="00DF7F38" w:rsidP="007A4DFB">
      <w:pPr>
        <w:pStyle w:val="BodyText"/>
        <w:jc w:val="both"/>
        <w:rPr>
          <w:rFonts w:asciiTheme="minorHAnsi" w:hAnsiTheme="minorHAnsi" w:cstheme="minorHAnsi"/>
        </w:rPr>
      </w:pPr>
    </w:p>
    <w:p w14:paraId="09416201" w14:textId="77777777" w:rsidR="00361D02" w:rsidRDefault="00361D02" w:rsidP="007A4DFB">
      <w:pPr>
        <w:pStyle w:val="BodyText"/>
        <w:jc w:val="both"/>
      </w:pPr>
      <w:r>
        <w:t>With a diverse range of jobs being represented at this level, the precise blend of responsibilities for which the job holder is accountable will depend upon the service in which they operate.</w:t>
      </w:r>
    </w:p>
    <w:p w14:paraId="2C59732B" w14:textId="77777777" w:rsidR="00361D02" w:rsidRDefault="00361D02" w:rsidP="007A4DFB">
      <w:pPr>
        <w:pStyle w:val="BodyText"/>
        <w:jc w:val="both"/>
        <w:rPr>
          <w:sz w:val="20"/>
        </w:rPr>
      </w:pPr>
    </w:p>
    <w:p w14:paraId="7EA3F1F0" w14:textId="77777777" w:rsidR="00361D02" w:rsidRDefault="00361D02" w:rsidP="007A4DFB">
      <w:pPr>
        <w:pStyle w:val="BodyText"/>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728582AA" w14:textId="77777777" w:rsidR="00361D02" w:rsidRDefault="00361D02" w:rsidP="007A4DFB">
      <w:pPr>
        <w:pStyle w:val="BodyText"/>
        <w:jc w:val="both"/>
        <w:rPr>
          <w:sz w:val="19"/>
        </w:rPr>
      </w:pPr>
    </w:p>
    <w:p w14:paraId="06F2A4FA" w14:textId="77777777" w:rsidR="00361D02" w:rsidRDefault="00361D02" w:rsidP="007A4DFB">
      <w:pPr>
        <w:pStyle w:val="BodyText"/>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25AFCFFB" w14:textId="77777777" w:rsidR="00361D02" w:rsidRDefault="00361D02" w:rsidP="007A4DFB">
      <w:pPr>
        <w:pStyle w:val="BodyText"/>
        <w:jc w:val="both"/>
        <w:rPr>
          <w:sz w:val="20"/>
        </w:rPr>
      </w:pPr>
    </w:p>
    <w:p w14:paraId="64CA9CC2" w14:textId="77777777" w:rsidR="00361D02" w:rsidRDefault="00361D02" w:rsidP="007A4DFB">
      <w:pPr>
        <w:pStyle w:val="BodyText"/>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needs. Roles will have full line management responsibility over a number of teams with differing functional specialties and employee</w:t>
      </w:r>
      <w:r>
        <w:rPr>
          <w:spacing w:val="-2"/>
        </w:rPr>
        <w:t xml:space="preserve"> </w:t>
      </w:r>
      <w:r>
        <w:t>profiles.</w:t>
      </w:r>
    </w:p>
    <w:p w14:paraId="00A6AE87" w14:textId="77777777" w:rsidR="00E133F8" w:rsidRDefault="00E133F8" w:rsidP="007A4DFB">
      <w:pPr>
        <w:pStyle w:val="Heading3"/>
        <w:spacing w:before="0"/>
        <w:jc w:val="both"/>
      </w:pPr>
    </w:p>
    <w:p w14:paraId="14AFDE55" w14:textId="380CD638" w:rsidR="00AB0A09" w:rsidRDefault="00AB0A09" w:rsidP="007A4DFB">
      <w:pPr>
        <w:pStyle w:val="Heading3"/>
        <w:spacing w:before="0"/>
        <w:jc w:val="both"/>
      </w:pPr>
      <w:r>
        <w:t>I</w:t>
      </w:r>
      <w:r w:rsidRPr="00585845">
        <w:t xml:space="preserve">mpacts and </w:t>
      </w:r>
      <w:r w:rsidR="00CC73DF">
        <w:t>d</w:t>
      </w:r>
      <w:r w:rsidRPr="00585845">
        <w:t>emands</w:t>
      </w:r>
    </w:p>
    <w:p w14:paraId="4981ADFA" w14:textId="77777777" w:rsidR="00361D02" w:rsidRDefault="00361D02" w:rsidP="007A4DFB">
      <w:pPr>
        <w:pStyle w:val="BodyText"/>
        <w:jc w:val="both"/>
      </w:pPr>
    </w:p>
    <w:p w14:paraId="57BDFF0F" w14:textId="1CB43C80" w:rsidR="00361D02" w:rsidRDefault="00361D02" w:rsidP="007A4DFB">
      <w:pPr>
        <w:pStyle w:val="BodyText"/>
        <w:jc w:val="both"/>
      </w:pPr>
      <w:r>
        <w:t>Tasks and duties will be generally carried out in a sedentary position but there will always be a requirement for standing and walking from time to time, and the occasional need to lift or carry items.</w:t>
      </w:r>
    </w:p>
    <w:p w14:paraId="2EEED77D" w14:textId="77777777" w:rsidR="00361D02" w:rsidRDefault="00361D02" w:rsidP="007A4DFB">
      <w:pPr>
        <w:pStyle w:val="BodyText"/>
        <w:jc w:val="both"/>
        <w:rPr>
          <w:sz w:val="20"/>
        </w:rPr>
      </w:pPr>
    </w:p>
    <w:p w14:paraId="1BCDA59D" w14:textId="77777777" w:rsidR="00361D02" w:rsidRDefault="00361D02" w:rsidP="007A4DFB">
      <w:pPr>
        <w:pStyle w:val="BodyText"/>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572B49" w14:textId="77777777" w:rsidR="00361D02" w:rsidRDefault="00361D02" w:rsidP="007A4DFB">
      <w:pPr>
        <w:pStyle w:val="BodyText"/>
        <w:jc w:val="both"/>
        <w:rPr>
          <w:sz w:val="19"/>
        </w:rPr>
      </w:pPr>
    </w:p>
    <w:p w14:paraId="1A2472A7" w14:textId="77777777" w:rsidR="00361D02" w:rsidRDefault="00361D02" w:rsidP="007A4DFB">
      <w:pPr>
        <w:pStyle w:val="BodyText"/>
        <w:jc w:val="both"/>
      </w:pPr>
      <w:r>
        <w:t>Duties of jobs at this level will not require job holders to develop and maintain working relationships with people who, through their circumstances or behaviour, place particular emotional demands on the job holder.</w:t>
      </w:r>
    </w:p>
    <w:p w14:paraId="034F3010" w14:textId="77777777" w:rsidR="00361D02" w:rsidRDefault="00361D02" w:rsidP="007A4DFB">
      <w:pPr>
        <w:pStyle w:val="BodyText"/>
        <w:jc w:val="both"/>
        <w:rPr>
          <w:sz w:val="18"/>
        </w:rPr>
      </w:pPr>
    </w:p>
    <w:p w14:paraId="0FF37C8E" w14:textId="77777777" w:rsidR="00361D02" w:rsidRDefault="00361D02" w:rsidP="007A4DFB">
      <w:pPr>
        <w:pStyle w:val="BodyText"/>
        <w:jc w:val="both"/>
      </w:pPr>
      <w:r>
        <w:t xml:space="preserve">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AFE038C" w14:textId="77777777" w:rsidR="00361D02" w:rsidRDefault="00361D02" w:rsidP="007A4DFB">
      <w:pPr>
        <w:pStyle w:val="BodyText"/>
        <w:jc w:val="both"/>
      </w:pPr>
    </w:p>
    <w:p w14:paraId="262F4B25" w14:textId="3FD7E95A" w:rsidR="00F77A6D" w:rsidRPr="007A4DFB" w:rsidRDefault="00361D02" w:rsidP="007A4DFB">
      <w:pPr>
        <w:pStyle w:val="BodyText"/>
        <w:jc w:val="both"/>
      </w:pPr>
      <w: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7A4DFB"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F5B8" w14:textId="77777777" w:rsidR="004D2F53" w:rsidRDefault="004D2F53">
      <w:pPr>
        <w:spacing w:after="0" w:line="240" w:lineRule="auto"/>
      </w:pPr>
      <w:r>
        <w:separator/>
      </w:r>
    </w:p>
  </w:endnote>
  <w:endnote w:type="continuationSeparator" w:id="0">
    <w:p w14:paraId="24B994BB" w14:textId="77777777" w:rsidR="004D2F53" w:rsidRDefault="004D2F53">
      <w:pPr>
        <w:spacing w:after="0" w:line="240" w:lineRule="auto"/>
      </w:pPr>
      <w:r>
        <w:continuationSeparator/>
      </w:r>
    </w:p>
  </w:endnote>
  <w:endnote w:type="continuationNotice" w:id="1">
    <w:p w14:paraId="48E6B05A" w14:textId="77777777" w:rsidR="004D2F53" w:rsidRDefault="004D2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61D0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ACE6A02" w:rsidR="00A21D34" w:rsidRDefault="00000000">
        <w:pPr>
          <w:pStyle w:val="Footer"/>
          <w:jc w:val="center"/>
        </w:pPr>
      </w:p>
    </w:sdtContent>
  </w:sdt>
  <w:p w14:paraId="1057F6DB" w14:textId="77777777" w:rsidR="00A21D34"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B502" w14:textId="77777777" w:rsidR="004D2F53" w:rsidRDefault="004D2F53">
      <w:pPr>
        <w:spacing w:after="0" w:line="240" w:lineRule="auto"/>
      </w:pPr>
      <w:r>
        <w:separator/>
      </w:r>
    </w:p>
  </w:footnote>
  <w:footnote w:type="continuationSeparator" w:id="0">
    <w:p w14:paraId="58B3795C" w14:textId="77777777" w:rsidR="004D2F53" w:rsidRDefault="004D2F53">
      <w:pPr>
        <w:spacing w:after="0" w:line="240" w:lineRule="auto"/>
      </w:pPr>
      <w:r>
        <w:continuationSeparator/>
      </w:r>
    </w:p>
  </w:footnote>
  <w:footnote w:type="continuationNotice" w:id="1">
    <w:p w14:paraId="5596A41B" w14:textId="77777777" w:rsidR="004D2F53" w:rsidRDefault="004D2F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949192027">
    <w:abstractNumId w:val="1"/>
  </w:num>
  <w:num w:numId="2" w16cid:durableId="1863127121">
    <w:abstractNumId w:val="2"/>
  </w:num>
  <w:num w:numId="3" w16cid:durableId="204512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documentProtection w:edit="trackedChanges" w:enforcement="1" w:cryptProviderType="rsaAES" w:cryptAlgorithmClass="hash" w:cryptAlgorithmType="typeAny" w:cryptAlgorithmSid="14" w:cryptSpinCount="100000" w:hash="/roINHcroskOiRxOHv/kA0oIuzVZ5IfGgSLQoguEvEtrc7y/SK9wLTU4lIwfp+QsiT3piIbO+eTtLDm0QmL1oA==" w:salt="nLotOSued2gwGsrqVZHv6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78B1"/>
    <w:rsid w:val="00016812"/>
    <w:rsid w:val="00022535"/>
    <w:rsid w:val="00033493"/>
    <w:rsid w:val="00052799"/>
    <w:rsid w:val="00071110"/>
    <w:rsid w:val="00091F5F"/>
    <w:rsid w:val="000B6A45"/>
    <w:rsid w:val="000F04CA"/>
    <w:rsid w:val="00103134"/>
    <w:rsid w:val="00117C4F"/>
    <w:rsid w:val="0012076A"/>
    <w:rsid w:val="00140099"/>
    <w:rsid w:val="00142EE6"/>
    <w:rsid w:val="00145F99"/>
    <w:rsid w:val="0016591A"/>
    <w:rsid w:val="001870A7"/>
    <w:rsid w:val="00191E38"/>
    <w:rsid w:val="001A1615"/>
    <w:rsid w:val="001B4BCF"/>
    <w:rsid w:val="001C2894"/>
    <w:rsid w:val="001E7B14"/>
    <w:rsid w:val="001F35EE"/>
    <w:rsid w:val="001F7B9C"/>
    <w:rsid w:val="00224237"/>
    <w:rsid w:val="00231E06"/>
    <w:rsid w:val="00251D49"/>
    <w:rsid w:val="00252A3A"/>
    <w:rsid w:val="00261464"/>
    <w:rsid w:val="0027078C"/>
    <w:rsid w:val="00270C38"/>
    <w:rsid w:val="00285712"/>
    <w:rsid w:val="00285927"/>
    <w:rsid w:val="002925AC"/>
    <w:rsid w:val="002A231E"/>
    <w:rsid w:val="002D4076"/>
    <w:rsid w:val="0031798C"/>
    <w:rsid w:val="0033207B"/>
    <w:rsid w:val="003378F8"/>
    <w:rsid w:val="00337C37"/>
    <w:rsid w:val="003533F6"/>
    <w:rsid w:val="00361D02"/>
    <w:rsid w:val="00365244"/>
    <w:rsid w:val="003734E7"/>
    <w:rsid w:val="0037549A"/>
    <w:rsid w:val="003818B3"/>
    <w:rsid w:val="00386E01"/>
    <w:rsid w:val="003B0797"/>
    <w:rsid w:val="003E4871"/>
    <w:rsid w:val="00404D37"/>
    <w:rsid w:val="00446BC3"/>
    <w:rsid w:val="004629C1"/>
    <w:rsid w:val="004637F3"/>
    <w:rsid w:val="00466E54"/>
    <w:rsid w:val="00467EB5"/>
    <w:rsid w:val="004C31AB"/>
    <w:rsid w:val="004D144D"/>
    <w:rsid w:val="004D2F53"/>
    <w:rsid w:val="004D46E4"/>
    <w:rsid w:val="004F1789"/>
    <w:rsid w:val="00511696"/>
    <w:rsid w:val="00512509"/>
    <w:rsid w:val="005127DC"/>
    <w:rsid w:val="005314DF"/>
    <w:rsid w:val="00535A60"/>
    <w:rsid w:val="00537C4B"/>
    <w:rsid w:val="00586800"/>
    <w:rsid w:val="005B584C"/>
    <w:rsid w:val="00653412"/>
    <w:rsid w:val="00657828"/>
    <w:rsid w:val="0066716A"/>
    <w:rsid w:val="00686BAB"/>
    <w:rsid w:val="00695CFB"/>
    <w:rsid w:val="006A0A45"/>
    <w:rsid w:val="006A568F"/>
    <w:rsid w:val="006C13A4"/>
    <w:rsid w:val="006C7A81"/>
    <w:rsid w:val="006D417B"/>
    <w:rsid w:val="006D5293"/>
    <w:rsid w:val="006D5B81"/>
    <w:rsid w:val="006E2F7B"/>
    <w:rsid w:val="006E309F"/>
    <w:rsid w:val="006F311C"/>
    <w:rsid w:val="00720F2B"/>
    <w:rsid w:val="007454A2"/>
    <w:rsid w:val="007628C1"/>
    <w:rsid w:val="00783ECE"/>
    <w:rsid w:val="007914F7"/>
    <w:rsid w:val="00794056"/>
    <w:rsid w:val="007A34BC"/>
    <w:rsid w:val="007A4DFB"/>
    <w:rsid w:val="007E4FA4"/>
    <w:rsid w:val="00823238"/>
    <w:rsid w:val="00830BE1"/>
    <w:rsid w:val="00853539"/>
    <w:rsid w:val="008558F0"/>
    <w:rsid w:val="008652F0"/>
    <w:rsid w:val="00876969"/>
    <w:rsid w:val="00896CD7"/>
    <w:rsid w:val="008B2D40"/>
    <w:rsid w:val="008D0249"/>
    <w:rsid w:val="008E41A6"/>
    <w:rsid w:val="008E6693"/>
    <w:rsid w:val="009319CC"/>
    <w:rsid w:val="00935F4A"/>
    <w:rsid w:val="00973246"/>
    <w:rsid w:val="009A41FE"/>
    <w:rsid w:val="009C44A1"/>
    <w:rsid w:val="009C4ADE"/>
    <w:rsid w:val="009C58DB"/>
    <w:rsid w:val="009C6B9A"/>
    <w:rsid w:val="009D0EC0"/>
    <w:rsid w:val="009D1140"/>
    <w:rsid w:val="009D3CA2"/>
    <w:rsid w:val="009E3848"/>
    <w:rsid w:val="009F418B"/>
    <w:rsid w:val="00A214B4"/>
    <w:rsid w:val="00A25E9D"/>
    <w:rsid w:val="00A31680"/>
    <w:rsid w:val="00A31CA8"/>
    <w:rsid w:val="00A32482"/>
    <w:rsid w:val="00A35B90"/>
    <w:rsid w:val="00A41E8F"/>
    <w:rsid w:val="00A62900"/>
    <w:rsid w:val="00A71324"/>
    <w:rsid w:val="00A73359"/>
    <w:rsid w:val="00A801D1"/>
    <w:rsid w:val="00A811A3"/>
    <w:rsid w:val="00A94374"/>
    <w:rsid w:val="00A97DC5"/>
    <w:rsid w:val="00AA0DB1"/>
    <w:rsid w:val="00AA46D2"/>
    <w:rsid w:val="00AA7ABF"/>
    <w:rsid w:val="00AB0450"/>
    <w:rsid w:val="00AB0A09"/>
    <w:rsid w:val="00AB194C"/>
    <w:rsid w:val="00AB5CB0"/>
    <w:rsid w:val="00AD2933"/>
    <w:rsid w:val="00AD4591"/>
    <w:rsid w:val="00AF2990"/>
    <w:rsid w:val="00AF359D"/>
    <w:rsid w:val="00B03069"/>
    <w:rsid w:val="00B05139"/>
    <w:rsid w:val="00B20434"/>
    <w:rsid w:val="00B264A1"/>
    <w:rsid w:val="00B32EDD"/>
    <w:rsid w:val="00B63688"/>
    <w:rsid w:val="00B87030"/>
    <w:rsid w:val="00B9607C"/>
    <w:rsid w:val="00BA4DA5"/>
    <w:rsid w:val="00BB1D33"/>
    <w:rsid w:val="00BB2C6C"/>
    <w:rsid w:val="00BD3C5C"/>
    <w:rsid w:val="00BF718F"/>
    <w:rsid w:val="00C03680"/>
    <w:rsid w:val="00C23807"/>
    <w:rsid w:val="00C26F4B"/>
    <w:rsid w:val="00C26FCC"/>
    <w:rsid w:val="00C30BE7"/>
    <w:rsid w:val="00C5175C"/>
    <w:rsid w:val="00C517CB"/>
    <w:rsid w:val="00C655AE"/>
    <w:rsid w:val="00C92647"/>
    <w:rsid w:val="00CB4B19"/>
    <w:rsid w:val="00CC6AB7"/>
    <w:rsid w:val="00CC73DF"/>
    <w:rsid w:val="00CE450D"/>
    <w:rsid w:val="00CE6F75"/>
    <w:rsid w:val="00D22979"/>
    <w:rsid w:val="00D51851"/>
    <w:rsid w:val="00D5782A"/>
    <w:rsid w:val="00D72A65"/>
    <w:rsid w:val="00D77887"/>
    <w:rsid w:val="00D849D4"/>
    <w:rsid w:val="00D9040D"/>
    <w:rsid w:val="00DA7A2E"/>
    <w:rsid w:val="00DB4038"/>
    <w:rsid w:val="00DC4A0A"/>
    <w:rsid w:val="00DF1A9B"/>
    <w:rsid w:val="00DF7F38"/>
    <w:rsid w:val="00E133F8"/>
    <w:rsid w:val="00E2449F"/>
    <w:rsid w:val="00E25A64"/>
    <w:rsid w:val="00E47798"/>
    <w:rsid w:val="00E51B3E"/>
    <w:rsid w:val="00EA1A27"/>
    <w:rsid w:val="00EB73E1"/>
    <w:rsid w:val="00EC3018"/>
    <w:rsid w:val="00ED783F"/>
    <w:rsid w:val="00EE040A"/>
    <w:rsid w:val="00F3518D"/>
    <w:rsid w:val="00F432C6"/>
    <w:rsid w:val="00F43A01"/>
    <w:rsid w:val="00F57F92"/>
    <w:rsid w:val="00F77A6D"/>
    <w:rsid w:val="00F82F03"/>
    <w:rsid w:val="00F905A8"/>
    <w:rsid w:val="00FB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C5175C"/>
    <w:pPr>
      <w:spacing w:after="0" w:line="240" w:lineRule="auto"/>
    </w:pPr>
  </w:style>
  <w:style w:type="paragraph" w:styleId="Header">
    <w:name w:val="header"/>
    <w:basedOn w:val="Normal"/>
    <w:link w:val="HeaderChar"/>
    <w:uiPriority w:val="99"/>
    <w:unhideWhenUsed/>
    <w:rsid w:val="00F35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148B2-2D1F-4855-9801-7A90787433FB}">
  <ds:schemaRefs>
    <ds:schemaRef ds:uri="Microsoft.SharePoint.Taxonomy.ContentTypeSync"/>
  </ds:schemaRefs>
</ds:datastoreItem>
</file>

<file path=customXml/itemProps2.xml><?xml version="1.0" encoding="utf-8"?>
<ds:datastoreItem xmlns:ds="http://schemas.openxmlformats.org/officeDocument/2006/customXml" ds:itemID="{CA04D2FF-19AB-4AA6-B683-46D1A93349E0}">
  <ds:schemaRefs>
    <ds:schemaRef ds:uri="http://schemas.microsoft.com/sharepoint/v3/contenttype/forms"/>
  </ds:schemaRefs>
</ds:datastoreItem>
</file>

<file path=customXml/itemProps3.xml><?xml version="1.0" encoding="utf-8"?>
<ds:datastoreItem xmlns:ds="http://schemas.openxmlformats.org/officeDocument/2006/customXml" ds:itemID="{C12137AB-1D36-424F-9443-7D9B6F78B6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A907DE-54E8-42AA-93CF-CCBAC6972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4</cp:revision>
  <dcterms:created xsi:type="dcterms:W3CDTF">2023-06-15T11:56:00Z</dcterms:created>
  <dcterms:modified xsi:type="dcterms:W3CDTF">2023-06-15T11:57:00Z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