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4EB16DAC" w:rsidR="0017540B" w:rsidRPr="003C2084" w:rsidRDefault="00B016EE"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Provide</w:t>
      </w:r>
      <w:r w:rsidR="009102C1">
        <w:rPr>
          <w:rFonts w:ascii="Amasis MT Pro Black" w:hAnsi="Amasis MT Pro Black"/>
          <w:b/>
          <w:bCs/>
          <w:color w:val="008796"/>
          <w:sz w:val="48"/>
          <w:szCs w:val="48"/>
        </w:rPr>
        <w:t>r</w:t>
      </w:r>
      <w:r>
        <w:rPr>
          <w:rFonts w:ascii="Amasis MT Pro Black" w:hAnsi="Amasis MT Pro Black"/>
          <w:b/>
          <w:bCs/>
          <w:color w:val="008796"/>
          <w:sz w:val="48"/>
          <w:szCs w:val="48"/>
        </w:rPr>
        <w:t xml:space="preserve"> Services Assistant</w:t>
      </w:r>
      <w:r w:rsidR="006E6FF3">
        <w:rPr>
          <w:rFonts w:ascii="Amasis MT Pro Black" w:hAnsi="Amasis MT Pro Black"/>
          <w:b/>
          <w:bCs/>
          <w:color w:val="008796"/>
          <w:sz w:val="48"/>
          <w:szCs w:val="48"/>
        </w:rPr>
        <w:t xml:space="preserve"> Team Leader</w:t>
      </w:r>
      <w:r w:rsidR="00D705B5">
        <w:rPr>
          <w:rFonts w:ascii="Amasis MT Pro Black" w:hAnsi="Amasis MT Pro Black"/>
          <w:b/>
          <w:bCs/>
          <w:color w:val="008796"/>
          <w:sz w:val="48"/>
          <w:szCs w:val="48"/>
        </w:rPr>
        <w:t xml:space="preserve"> - Relief</w:t>
      </w:r>
      <w:r w:rsidR="006E6FF3">
        <w:rPr>
          <w:rFonts w:ascii="Amasis MT Pro Black" w:hAnsi="Amasis MT Pro Black"/>
          <w:b/>
          <w:bCs/>
          <w:color w:val="008796"/>
          <w:sz w:val="48"/>
          <w:szCs w:val="48"/>
        </w:rPr>
        <w:t xml:space="preserve"> </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2744F761" w:rsidR="00844611" w:rsidRPr="001F4958" w:rsidRDefault="004A1409" w:rsidP="00C577BE">
            <w:pPr>
              <w:spacing w:after="0" w:line="240" w:lineRule="auto"/>
              <w:ind w:right="118"/>
              <w:contextualSpacing/>
              <w:rPr>
                <w:rFonts w:cstheme="minorHAnsi"/>
                <w:noProof/>
                <w:sz w:val="24"/>
                <w:szCs w:val="24"/>
              </w:rPr>
            </w:pPr>
            <w:r>
              <w:rPr>
                <w:rFonts w:cstheme="minorHAnsi"/>
                <w:noProof/>
                <w:sz w:val="24"/>
                <w:szCs w:val="24"/>
              </w:rPr>
              <w:t>Adult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44506D97" w:rsidR="00844611" w:rsidRPr="001F4958" w:rsidRDefault="004A1409" w:rsidP="00C577BE">
            <w:pPr>
              <w:spacing w:after="0" w:line="240" w:lineRule="auto"/>
              <w:ind w:right="118"/>
              <w:contextualSpacing/>
              <w:rPr>
                <w:rFonts w:cstheme="minorHAnsi"/>
                <w:noProof/>
                <w:sz w:val="24"/>
                <w:szCs w:val="24"/>
              </w:rPr>
            </w:pPr>
            <w:r>
              <w:rPr>
                <w:rFonts w:cstheme="minorHAnsi"/>
                <w:noProof/>
                <w:sz w:val="24"/>
                <w:szCs w:val="24"/>
              </w:rPr>
              <w:t>Registered</w:t>
            </w:r>
            <w:r w:rsidR="00DD54FB">
              <w:rPr>
                <w:rFonts w:cstheme="minorHAnsi"/>
                <w:noProof/>
                <w:sz w:val="24"/>
                <w:szCs w:val="24"/>
              </w:rPr>
              <w:t>/Operational</w:t>
            </w:r>
            <w:r>
              <w:rPr>
                <w:rFonts w:cstheme="minorHAnsi"/>
                <w:noProof/>
                <w:sz w:val="24"/>
                <w:szCs w:val="24"/>
              </w:rPr>
              <w:t xml:space="preserve">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64B091CC" w:rsidR="00844611" w:rsidRPr="001F4958" w:rsidRDefault="005F2CFE"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25E1DE39"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18329F4A"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tc>
          <w:tcPr>
            <w:tcW w:w="2263" w:type="dxa"/>
          </w:tcPr>
          <w:p w14:paraId="04261768" w14:textId="77777777" w:rsidR="00B86474" w:rsidRPr="001F4958" w:rsidRDefault="00B86474">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3CC1D109" w:rsidR="00B86474" w:rsidRPr="001F4958" w:rsidRDefault="004A1409">
            <w:pPr>
              <w:spacing w:after="0" w:line="240" w:lineRule="auto"/>
              <w:ind w:right="118"/>
              <w:contextualSpacing/>
              <w:rPr>
                <w:rFonts w:cstheme="minorHAnsi"/>
                <w:noProof/>
                <w:sz w:val="24"/>
                <w:szCs w:val="24"/>
              </w:rPr>
            </w:pPr>
            <w:r>
              <w:rPr>
                <w:rFonts w:cstheme="minorHAnsi"/>
                <w:noProof/>
                <w:sz w:val="24"/>
                <w:szCs w:val="24"/>
              </w:rPr>
              <w:t>June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674F1564"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311C46">
              <w:rPr>
                <w:rFonts w:cstheme="minorHAnsi"/>
                <w:noProof/>
                <w:sz w:val="24"/>
                <w:szCs w:val="24"/>
              </w:rPr>
              <w:t>1193</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578"/>
        <w:gridCol w:w="9072"/>
      </w:tblGrid>
      <w:tr w:rsidR="000D2837" w14:paraId="5C8C87F7" w14:textId="77777777" w:rsidTr="0066451A">
        <w:tc>
          <w:tcPr>
            <w:tcW w:w="578"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2DF93D6E" w:rsidR="000D2837" w:rsidRPr="004A1409" w:rsidRDefault="00DF668B" w:rsidP="00C577BE">
            <w:pPr>
              <w:spacing w:after="0" w:line="240" w:lineRule="auto"/>
              <w:ind w:right="118"/>
              <w:rPr>
                <w:rFonts w:cstheme="minorHAnsi"/>
                <w:sz w:val="24"/>
                <w:szCs w:val="24"/>
              </w:rPr>
            </w:pPr>
            <w:r w:rsidRPr="004A1409">
              <w:rPr>
                <w:rFonts w:cstheme="minorHAnsi"/>
                <w:sz w:val="24"/>
                <w:szCs w:val="24"/>
              </w:rPr>
              <w:t xml:space="preserve">To manage a team of </w:t>
            </w:r>
            <w:r w:rsidR="004A1409">
              <w:rPr>
                <w:rFonts w:cstheme="minorHAnsi"/>
                <w:sz w:val="24"/>
                <w:szCs w:val="24"/>
              </w:rPr>
              <w:t>c</w:t>
            </w:r>
            <w:r w:rsidRPr="004A1409">
              <w:rPr>
                <w:rFonts w:cstheme="minorHAnsi"/>
                <w:sz w:val="24"/>
                <w:szCs w:val="24"/>
              </w:rPr>
              <w:t xml:space="preserve">arers, empowering them to deliver an effective personal care service in line with national care standards. To be a role model to care and support staff by working in line with MKCC values.  </w:t>
            </w:r>
          </w:p>
        </w:tc>
      </w:tr>
      <w:tr w:rsidR="000D2837" w14:paraId="1175A00B" w14:textId="77777777" w:rsidTr="0066451A">
        <w:tc>
          <w:tcPr>
            <w:tcW w:w="578"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7354E208" w:rsidR="000D2837" w:rsidRPr="004A1409" w:rsidRDefault="005B344B" w:rsidP="00C577BE">
            <w:pPr>
              <w:spacing w:after="0" w:line="240" w:lineRule="auto"/>
              <w:ind w:right="118"/>
              <w:rPr>
                <w:rFonts w:cstheme="minorHAnsi"/>
                <w:sz w:val="24"/>
                <w:szCs w:val="24"/>
              </w:rPr>
            </w:pPr>
            <w:r w:rsidRPr="004A1409">
              <w:rPr>
                <w:rFonts w:cstheme="minorHAnsi"/>
                <w:sz w:val="24"/>
                <w:szCs w:val="24"/>
              </w:rPr>
              <w:t>To be responsible for distributing work schedules for carers, and planning work schedules where necessary, ensuring that all service user care calls are covered</w:t>
            </w:r>
            <w:r w:rsidR="00C13EF1">
              <w:rPr>
                <w:rFonts w:cstheme="minorHAnsi"/>
                <w:sz w:val="24"/>
                <w:szCs w:val="24"/>
              </w:rPr>
              <w:t xml:space="preserve"> and completed.</w:t>
            </w:r>
          </w:p>
        </w:tc>
      </w:tr>
      <w:tr w:rsidR="00053C16" w14:paraId="52DB8D7D" w14:textId="77777777" w:rsidTr="0066451A">
        <w:tc>
          <w:tcPr>
            <w:tcW w:w="578" w:type="dxa"/>
          </w:tcPr>
          <w:p w14:paraId="68898096" w14:textId="51AF515F" w:rsidR="00053C16" w:rsidRPr="000D2837" w:rsidRDefault="00053C16" w:rsidP="00053C16">
            <w:pPr>
              <w:spacing w:after="0" w:line="240" w:lineRule="auto"/>
              <w:ind w:right="118"/>
              <w:rPr>
                <w:b/>
                <w:bCs/>
                <w:sz w:val="24"/>
                <w:szCs w:val="24"/>
              </w:rPr>
            </w:pPr>
            <w:r w:rsidRPr="000D2837">
              <w:rPr>
                <w:b/>
                <w:bCs/>
                <w:sz w:val="24"/>
                <w:szCs w:val="24"/>
              </w:rPr>
              <w:t>3</w:t>
            </w:r>
          </w:p>
        </w:tc>
        <w:tc>
          <w:tcPr>
            <w:tcW w:w="9072" w:type="dxa"/>
          </w:tcPr>
          <w:p w14:paraId="7E16FC57" w14:textId="21276A66" w:rsidR="00053C16" w:rsidRPr="004A1409" w:rsidRDefault="00053C16" w:rsidP="00053C16">
            <w:pPr>
              <w:spacing w:after="0" w:line="240" w:lineRule="auto"/>
              <w:ind w:right="118"/>
              <w:rPr>
                <w:rFonts w:cstheme="minorHAnsi"/>
                <w:sz w:val="24"/>
                <w:szCs w:val="24"/>
              </w:rPr>
            </w:pPr>
            <w:r w:rsidRPr="004A1409">
              <w:rPr>
                <w:rFonts w:cstheme="minorHAnsi"/>
                <w:sz w:val="24"/>
                <w:szCs w:val="24"/>
              </w:rPr>
              <w:t xml:space="preserve">To be responsible for keeping accurate and up to date records relating to service users and staff. This should be in line with the Care Quality Commission and Milton Keynes </w:t>
            </w:r>
            <w:r w:rsidR="004A1409">
              <w:rPr>
                <w:rFonts w:cstheme="minorHAnsi"/>
                <w:sz w:val="24"/>
                <w:szCs w:val="24"/>
              </w:rPr>
              <w:t xml:space="preserve">City </w:t>
            </w:r>
            <w:r w:rsidRPr="004A1409">
              <w:rPr>
                <w:rFonts w:cstheme="minorHAnsi"/>
                <w:sz w:val="24"/>
                <w:szCs w:val="24"/>
              </w:rPr>
              <w:t xml:space="preserve">Council policy including incident forms, safeguarding </w:t>
            </w:r>
            <w:r w:rsidR="00277277" w:rsidRPr="004A1409">
              <w:rPr>
                <w:rFonts w:cstheme="minorHAnsi"/>
                <w:sz w:val="24"/>
                <w:szCs w:val="24"/>
              </w:rPr>
              <w:t>alerts,</w:t>
            </w:r>
            <w:r w:rsidRPr="004A1409">
              <w:rPr>
                <w:rFonts w:cstheme="minorHAnsi"/>
                <w:sz w:val="24"/>
                <w:szCs w:val="24"/>
              </w:rPr>
              <w:t xml:space="preserve"> and service user notes. </w:t>
            </w:r>
          </w:p>
        </w:tc>
      </w:tr>
      <w:tr w:rsidR="00053C16" w14:paraId="41071A23" w14:textId="77777777" w:rsidTr="0066451A">
        <w:tc>
          <w:tcPr>
            <w:tcW w:w="578" w:type="dxa"/>
          </w:tcPr>
          <w:p w14:paraId="4BCFE63A" w14:textId="4DD18346" w:rsidR="00053C16" w:rsidRPr="000D2837" w:rsidRDefault="00053C16" w:rsidP="00053C16">
            <w:pPr>
              <w:spacing w:after="0" w:line="240" w:lineRule="auto"/>
              <w:ind w:right="118"/>
              <w:rPr>
                <w:b/>
                <w:bCs/>
                <w:sz w:val="24"/>
                <w:szCs w:val="24"/>
              </w:rPr>
            </w:pPr>
            <w:r w:rsidRPr="000D2837">
              <w:rPr>
                <w:b/>
                <w:bCs/>
                <w:sz w:val="24"/>
                <w:szCs w:val="24"/>
              </w:rPr>
              <w:t>4</w:t>
            </w:r>
          </w:p>
        </w:tc>
        <w:tc>
          <w:tcPr>
            <w:tcW w:w="9072" w:type="dxa"/>
          </w:tcPr>
          <w:p w14:paraId="01C0158B" w14:textId="52BDC23F" w:rsidR="00053C16" w:rsidRPr="004A1409" w:rsidRDefault="00277277" w:rsidP="00053C16">
            <w:pPr>
              <w:spacing w:after="0" w:line="240" w:lineRule="auto"/>
              <w:ind w:right="118"/>
              <w:rPr>
                <w:rFonts w:cstheme="minorHAnsi"/>
                <w:sz w:val="24"/>
                <w:szCs w:val="24"/>
              </w:rPr>
            </w:pPr>
            <w:r w:rsidRPr="004A1409">
              <w:rPr>
                <w:rFonts w:cstheme="minorHAnsi"/>
                <w:sz w:val="24"/>
                <w:szCs w:val="24"/>
              </w:rPr>
              <w:t xml:space="preserve">To notify the Registered </w:t>
            </w:r>
            <w:r w:rsidR="00C13EF1">
              <w:rPr>
                <w:rFonts w:cstheme="minorHAnsi"/>
                <w:sz w:val="24"/>
                <w:szCs w:val="24"/>
              </w:rPr>
              <w:t xml:space="preserve">or Operational </w:t>
            </w:r>
            <w:r w:rsidRPr="004A1409">
              <w:rPr>
                <w:rFonts w:cstheme="minorHAnsi"/>
                <w:sz w:val="24"/>
                <w:szCs w:val="24"/>
              </w:rPr>
              <w:t>Manager of any problems relating to the effective provision of the service, for example, adult safeguarding incidences</w:t>
            </w:r>
            <w:r w:rsidR="004A1409">
              <w:rPr>
                <w:rFonts w:cstheme="minorHAnsi"/>
                <w:sz w:val="24"/>
                <w:szCs w:val="24"/>
              </w:rPr>
              <w:t xml:space="preserve"> and colleague absence.</w:t>
            </w:r>
          </w:p>
        </w:tc>
      </w:tr>
      <w:tr w:rsidR="00053C16" w14:paraId="1AFB009D" w14:textId="77777777" w:rsidTr="0066451A">
        <w:tc>
          <w:tcPr>
            <w:tcW w:w="578" w:type="dxa"/>
          </w:tcPr>
          <w:p w14:paraId="488283BD" w14:textId="79A6057E" w:rsidR="00053C16" w:rsidRPr="000D2837" w:rsidRDefault="00053C16" w:rsidP="00053C16">
            <w:pPr>
              <w:spacing w:after="0" w:line="240" w:lineRule="auto"/>
              <w:ind w:right="118"/>
              <w:rPr>
                <w:b/>
                <w:bCs/>
                <w:sz w:val="24"/>
                <w:szCs w:val="24"/>
              </w:rPr>
            </w:pPr>
            <w:r w:rsidRPr="000D2837">
              <w:rPr>
                <w:b/>
                <w:bCs/>
                <w:sz w:val="24"/>
                <w:szCs w:val="24"/>
              </w:rPr>
              <w:t>5</w:t>
            </w:r>
          </w:p>
        </w:tc>
        <w:tc>
          <w:tcPr>
            <w:tcW w:w="9072" w:type="dxa"/>
          </w:tcPr>
          <w:p w14:paraId="5204BE07" w14:textId="5717C84D" w:rsidR="00053C16" w:rsidRPr="004A1409" w:rsidRDefault="004B53E0" w:rsidP="00053C16">
            <w:pPr>
              <w:spacing w:after="0" w:line="240" w:lineRule="auto"/>
              <w:ind w:right="118"/>
              <w:rPr>
                <w:rFonts w:cstheme="minorHAnsi"/>
                <w:sz w:val="24"/>
                <w:szCs w:val="24"/>
              </w:rPr>
            </w:pPr>
            <w:r w:rsidRPr="004A1409">
              <w:rPr>
                <w:rFonts w:cstheme="minorHAnsi"/>
                <w:sz w:val="24"/>
                <w:szCs w:val="24"/>
              </w:rPr>
              <w:t xml:space="preserve">To be responsible </w:t>
            </w:r>
            <w:r w:rsidR="0066451A">
              <w:rPr>
                <w:rFonts w:cstheme="minorHAnsi"/>
                <w:sz w:val="24"/>
                <w:szCs w:val="24"/>
              </w:rPr>
              <w:t xml:space="preserve">the </w:t>
            </w:r>
            <w:r w:rsidRPr="004A1409">
              <w:rPr>
                <w:rFonts w:cstheme="minorHAnsi"/>
                <w:sz w:val="24"/>
                <w:szCs w:val="24"/>
              </w:rPr>
              <w:t>for initial care needs assessment</w:t>
            </w:r>
            <w:r w:rsidR="0066451A">
              <w:rPr>
                <w:rFonts w:cstheme="minorHAnsi"/>
                <w:sz w:val="24"/>
                <w:szCs w:val="24"/>
              </w:rPr>
              <w:t>, and risk assessment,</w:t>
            </w:r>
            <w:r w:rsidRPr="004A1409">
              <w:rPr>
                <w:rFonts w:cstheme="minorHAnsi"/>
                <w:sz w:val="24"/>
                <w:szCs w:val="24"/>
              </w:rPr>
              <w:t xml:space="preserve"> of individuals using the service and support care staff with providing personal care when needed.</w:t>
            </w:r>
          </w:p>
        </w:tc>
      </w:tr>
      <w:tr w:rsidR="00053C16" w14:paraId="4D030043" w14:textId="77777777" w:rsidTr="0066451A">
        <w:tc>
          <w:tcPr>
            <w:tcW w:w="578" w:type="dxa"/>
          </w:tcPr>
          <w:p w14:paraId="2A535A5B" w14:textId="712DB6A5" w:rsidR="00053C16" w:rsidRPr="000D2837" w:rsidRDefault="00053C16" w:rsidP="00053C16">
            <w:pPr>
              <w:spacing w:after="0" w:line="240" w:lineRule="auto"/>
              <w:ind w:right="118"/>
              <w:rPr>
                <w:b/>
                <w:bCs/>
                <w:sz w:val="24"/>
                <w:szCs w:val="24"/>
              </w:rPr>
            </w:pPr>
            <w:r w:rsidRPr="000D2837">
              <w:rPr>
                <w:b/>
                <w:bCs/>
                <w:sz w:val="24"/>
                <w:szCs w:val="24"/>
              </w:rPr>
              <w:t>6</w:t>
            </w:r>
          </w:p>
        </w:tc>
        <w:tc>
          <w:tcPr>
            <w:tcW w:w="9072" w:type="dxa"/>
          </w:tcPr>
          <w:p w14:paraId="5ABE2E4C" w14:textId="53022BAB" w:rsidR="00053C16" w:rsidRPr="004A1409" w:rsidRDefault="008D74C5" w:rsidP="00053C16">
            <w:pPr>
              <w:spacing w:after="0" w:line="240" w:lineRule="auto"/>
              <w:ind w:right="118"/>
              <w:rPr>
                <w:rFonts w:cstheme="minorHAnsi"/>
                <w:sz w:val="24"/>
                <w:szCs w:val="24"/>
              </w:rPr>
            </w:pPr>
            <w:r w:rsidRPr="004A1409">
              <w:rPr>
                <w:rFonts w:cstheme="minorHAnsi"/>
                <w:sz w:val="24"/>
                <w:szCs w:val="24"/>
              </w:rPr>
              <w:t xml:space="preserve">To be responsible for taking the lead in emergency situations and seeking the appropriate </w:t>
            </w:r>
            <w:r w:rsidR="0066451A">
              <w:rPr>
                <w:rFonts w:cstheme="minorHAnsi"/>
                <w:sz w:val="24"/>
                <w:szCs w:val="24"/>
              </w:rPr>
              <w:t>medical support as necessary</w:t>
            </w:r>
            <w:r w:rsidRPr="004A1409">
              <w:rPr>
                <w:rFonts w:cstheme="minorHAnsi"/>
                <w:sz w:val="24"/>
                <w:szCs w:val="24"/>
              </w:rPr>
              <w:t xml:space="preserve">. To direct the care staff in emergency situations and </w:t>
            </w:r>
            <w:r w:rsidR="0066451A">
              <w:rPr>
                <w:rFonts w:cstheme="minorHAnsi"/>
                <w:sz w:val="24"/>
                <w:szCs w:val="24"/>
              </w:rPr>
              <w:t xml:space="preserve">ensure </w:t>
            </w:r>
            <w:r w:rsidR="009F600C">
              <w:rPr>
                <w:rFonts w:cstheme="minorHAnsi"/>
                <w:sz w:val="24"/>
                <w:szCs w:val="24"/>
              </w:rPr>
              <w:t>e</w:t>
            </w:r>
            <w:r w:rsidR="0066451A">
              <w:rPr>
                <w:rFonts w:cstheme="minorHAnsi"/>
                <w:sz w:val="24"/>
                <w:szCs w:val="24"/>
              </w:rPr>
              <w:t>ffective communication with all parties necessary.</w:t>
            </w:r>
          </w:p>
        </w:tc>
      </w:tr>
      <w:tr w:rsidR="00F665D7" w14:paraId="411ACEE9" w14:textId="77777777" w:rsidTr="0066451A">
        <w:tc>
          <w:tcPr>
            <w:tcW w:w="578" w:type="dxa"/>
          </w:tcPr>
          <w:p w14:paraId="4B46B1B5" w14:textId="3CCB1735" w:rsidR="00F665D7" w:rsidRPr="000D2837" w:rsidRDefault="00F665D7" w:rsidP="00F665D7">
            <w:pPr>
              <w:spacing w:after="0" w:line="240" w:lineRule="auto"/>
              <w:ind w:right="118"/>
              <w:rPr>
                <w:b/>
                <w:bCs/>
                <w:sz w:val="24"/>
                <w:szCs w:val="24"/>
              </w:rPr>
            </w:pPr>
            <w:r>
              <w:rPr>
                <w:b/>
                <w:bCs/>
                <w:sz w:val="24"/>
                <w:szCs w:val="24"/>
              </w:rPr>
              <w:t>8</w:t>
            </w:r>
          </w:p>
        </w:tc>
        <w:tc>
          <w:tcPr>
            <w:tcW w:w="9072" w:type="dxa"/>
          </w:tcPr>
          <w:p w14:paraId="721C41F2" w14:textId="41BCEE35" w:rsidR="00F665D7" w:rsidRPr="004A1409" w:rsidRDefault="00C07A27" w:rsidP="00F665D7">
            <w:pPr>
              <w:spacing w:after="0" w:line="240" w:lineRule="auto"/>
              <w:ind w:right="118"/>
              <w:rPr>
                <w:rFonts w:cstheme="minorHAnsi"/>
                <w:sz w:val="24"/>
                <w:szCs w:val="24"/>
              </w:rPr>
            </w:pPr>
            <w:r w:rsidRPr="004A1409">
              <w:rPr>
                <w:rFonts w:cstheme="minorHAnsi"/>
                <w:sz w:val="24"/>
                <w:szCs w:val="24"/>
              </w:rPr>
              <w:t xml:space="preserve">To communicate effectively with the Registered </w:t>
            </w:r>
            <w:r w:rsidR="00BE4A59">
              <w:rPr>
                <w:rFonts w:cstheme="minorHAnsi"/>
                <w:sz w:val="24"/>
                <w:szCs w:val="24"/>
              </w:rPr>
              <w:t xml:space="preserve">or Operational </w:t>
            </w:r>
            <w:r w:rsidRPr="004A1409">
              <w:rPr>
                <w:rFonts w:cstheme="minorHAnsi"/>
                <w:sz w:val="24"/>
                <w:szCs w:val="24"/>
              </w:rPr>
              <w:t>Manager, team leaders, care, and support staff to ensure the smooth running of the shift. To communicate effectively with service users’ families, and where appropriate to inform them about any incidences or health issues.</w:t>
            </w:r>
          </w:p>
        </w:tc>
      </w:tr>
      <w:tr w:rsidR="00F665D7" w14:paraId="47E2E383" w14:textId="77777777" w:rsidTr="0066451A">
        <w:tc>
          <w:tcPr>
            <w:tcW w:w="578" w:type="dxa"/>
          </w:tcPr>
          <w:p w14:paraId="6DDCEFE9" w14:textId="56462C50" w:rsidR="00F665D7" w:rsidRPr="000D2837" w:rsidRDefault="00F665D7" w:rsidP="00F665D7">
            <w:pPr>
              <w:spacing w:after="0" w:line="240" w:lineRule="auto"/>
              <w:ind w:right="118"/>
              <w:rPr>
                <w:b/>
                <w:bCs/>
                <w:sz w:val="24"/>
                <w:szCs w:val="24"/>
              </w:rPr>
            </w:pPr>
            <w:r>
              <w:rPr>
                <w:b/>
                <w:bCs/>
                <w:sz w:val="24"/>
                <w:szCs w:val="24"/>
              </w:rPr>
              <w:t>9</w:t>
            </w:r>
          </w:p>
        </w:tc>
        <w:tc>
          <w:tcPr>
            <w:tcW w:w="9072" w:type="dxa"/>
          </w:tcPr>
          <w:p w14:paraId="4FECBB86" w14:textId="0F031EF9" w:rsidR="00F665D7" w:rsidRPr="004A1409" w:rsidRDefault="00D805A9" w:rsidP="00F665D7">
            <w:pPr>
              <w:spacing w:after="0" w:line="240" w:lineRule="auto"/>
              <w:ind w:right="118"/>
              <w:rPr>
                <w:rFonts w:cstheme="minorHAnsi"/>
                <w:sz w:val="24"/>
                <w:szCs w:val="24"/>
              </w:rPr>
            </w:pPr>
            <w:r w:rsidRPr="004A1409">
              <w:rPr>
                <w:rFonts w:cstheme="minorHAnsi"/>
                <w:sz w:val="24"/>
                <w:szCs w:val="24"/>
              </w:rPr>
              <w:t>To write MAR charts for service users where there is not one provided by the pharmacy to ensure that medication is given correctly and in accordance with the prescriber’s instructions.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0D82C146" w:rsidR="00C577BE" w:rsidRDefault="002F1D77" w:rsidP="00C577BE">
            <w:pPr>
              <w:spacing w:after="0" w:line="240" w:lineRule="auto"/>
              <w:ind w:right="118"/>
              <w:rPr>
                <w:sz w:val="24"/>
                <w:szCs w:val="24"/>
              </w:rPr>
            </w:pPr>
            <w:r>
              <w:rPr>
                <w:sz w:val="24"/>
                <w:szCs w:val="24"/>
              </w:rPr>
              <w:t>N</w:t>
            </w:r>
            <w:r w:rsidR="00553F65">
              <w:rPr>
                <w:sz w:val="24"/>
                <w:szCs w:val="24"/>
              </w:rPr>
              <w:t>VQ Level 3 in health and social care</w:t>
            </w:r>
            <w:r w:rsidR="0066451A">
              <w:rPr>
                <w:sz w:val="24"/>
                <w:szCs w:val="24"/>
              </w:rPr>
              <w:t xml:space="preserve"> or equivalent</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62EF1C60" w:rsidR="00C577BE" w:rsidRDefault="00553F65" w:rsidP="00C577BE">
            <w:pPr>
              <w:spacing w:after="0" w:line="240" w:lineRule="auto"/>
              <w:ind w:right="118"/>
              <w:rPr>
                <w:sz w:val="24"/>
                <w:szCs w:val="24"/>
              </w:rPr>
            </w:pPr>
            <w:r>
              <w:rPr>
                <w:sz w:val="24"/>
                <w:szCs w:val="24"/>
              </w:rPr>
              <w:t xml:space="preserve">Excellent communication skills </w:t>
            </w:r>
            <w:r w:rsidR="00307EA8">
              <w:rPr>
                <w:sz w:val="24"/>
                <w:szCs w:val="24"/>
              </w:rPr>
              <w:t xml:space="preserve">both verbal and written. </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02D93C68" w:rsidR="00C577BE" w:rsidRDefault="0012553A" w:rsidP="00C577BE">
            <w:pPr>
              <w:spacing w:after="0" w:line="240" w:lineRule="auto"/>
              <w:ind w:right="118"/>
              <w:rPr>
                <w:sz w:val="24"/>
                <w:szCs w:val="24"/>
              </w:rPr>
            </w:pPr>
            <w:r>
              <w:rPr>
                <w:sz w:val="24"/>
                <w:szCs w:val="24"/>
              </w:rPr>
              <w:t xml:space="preserve">Experience of working </w:t>
            </w:r>
            <w:r w:rsidR="0066451A">
              <w:rPr>
                <w:sz w:val="24"/>
                <w:szCs w:val="24"/>
              </w:rPr>
              <w:t>with people living with Dementia</w:t>
            </w:r>
            <w:r>
              <w:rPr>
                <w:sz w:val="24"/>
                <w:szCs w:val="24"/>
              </w:rPr>
              <w:t xml:space="preserve"> </w:t>
            </w:r>
            <w:r w:rsidR="00892F05">
              <w:rPr>
                <w:sz w:val="24"/>
                <w:szCs w:val="24"/>
              </w:rPr>
              <w:t>and</w:t>
            </w:r>
            <w:r w:rsidR="004A1409">
              <w:rPr>
                <w:sz w:val="24"/>
                <w:szCs w:val="24"/>
              </w:rPr>
              <w:t>/or</w:t>
            </w:r>
            <w:r w:rsidR="00892F05">
              <w:rPr>
                <w:sz w:val="24"/>
                <w:szCs w:val="24"/>
              </w:rPr>
              <w:t xml:space="preserve"> </w:t>
            </w:r>
            <w:r w:rsidR="0039715A">
              <w:rPr>
                <w:sz w:val="24"/>
                <w:szCs w:val="24"/>
              </w:rPr>
              <w:t xml:space="preserve">with </w:t>
            </w:r>
            <w:r w:rsidR="00892F05">
              <w:rPr>
                <w:sz w:val="24"/>
                <w:szCs w:val="24"/>
              </w:rPr>
              <w:t xml:space="preserve">older people </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112ECC44" w:rsidR="00C577BE" w:rsidRDefault="0039715A" w:rsidP="00C577BE">
            <w:pPr>
              <w:spacing w:after="0" w:line="240" w:lineRule="auto"/>
              <w:ind w:right="118"/>
              <w:rPr>
                <w:sz w:val="24"/>
                <w:szCs w:val="24"/>
              </w:rPr>
            </w:pPr>
            <w:r>
              <w:rPr>
                <w:sz w:val="24"/>
                <w:szCs w:val="24"/>
              </w:rPr>
              <w:t xml:space="preserve">Some supervisory experience or experience in managing people </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t xml:space="preserve">Job </w:t>
      </w:r>
      <w:r w:rsidR="00F6045D" w:rsidRPr="001F5934">
        <w:rPr>
          <w:rFonts w:ascii="Amasis MT Pro Black" w:hAnsi="Amasis MT Pro Black"/>
          <w:sz w:val="32"/>
          <w:szCs w:val="32"/>
        </w:rPr>
        <w:t>family</w:t>
      </w:r>
    </w:p>
    <w:p w14:paraId="4B28D50C" w14:textId="0722D5F3"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5F2CFE">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77787A33" w14:textId="345A3805" w:rsidR="00C3116F" w:rsidRPr="00C3116F" w:rsidRDefault="00C3116F" w:rsidP="00C3116F">
      <w:pPr>
        <w:spacing w:after="0" w:line="240" w:lineRule="auto"/>
        <w:ind w:left="567" w:right="260"/>
        <w:rPr>
          <w:noProof/>
          <w:sz w:val="24"/>
          <w:szCs w:val="24"/>
        </w:rPr>
      </w:pPr>
      <w:r w:rsidRPr="00C3116F">
        <w:rPr>
          <w:noProof/>
          <w:sz w:val="24"/>
          <w:szCs w:val="24"/>
        </w:rPr>
        <w:t xml:space="preserve">Care and Welfare family jobs have as their primary responsibility the vulnerable members of our community who depend upon the </w:t>
      </w:r>
      <w:r>
        <w:rPr>
          <w:noProof/>
          <w:sz w:val="24"/>
          <w:szCs w:val="24"/>
        </w:rPr>
        <w:t>city c</w:t>
      </w:r>
      <w:r w:rsidRPr="00C3116F">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63F4F4EE" w14:textId="77777777" w:rsidR="00C3116F" w:rsidRPr="00C3116F" w:rsidRDefault="00C3116F" w:rsidP="00C3116F">
      <w:pPr>
        <w:spacing w:after="0" w:line="240" w:lineRule="auto"/>
        <w:ind w:left="567" w:right="260"/>
        <w:rPr>
          <w:noProof/>
          <w:sz w:val="24"/>
          <w:szCs w:val="24"/>
        </w:rPr>
      </w:pPr>
    </w:p>
    <w:p w14:paraId="476538C9" w14:textId="77777777" w:rsidR="00C3116F" w:rsidRPr="00C3116F" w:rsidRDefault="00C3116F" w:rsidP="00C3116F">
      <w:pPr>
        <w:spacing w:after="0" w:line="240" w:lineRule="auto"/>
        <w:ind w:left="567" w:right="260"/>
        <w:rPr>
          <w:noProof/>
          <w:sz w:val="24"/>
          <w:szCs w:val="24"/>
        </w:rPr>
      </w:pPr>
      <w:r w:rsidRPr="00C3116F">
        <w:rPr>
          <w:noProof/>
          <w:sz w:val="24"/>
          <w:szCs w:val="24"/>
        </w:rPr>
        <w:t>This element of the profile, taken from the job family descriptor for this grade, provides a general understanding of the level of work and demands required.</w:t>
      </w:r>
    </w:p>
    <w:p w14:paraId="11404732" w14:textId="77777777" w:rsidR="00C3116F" w:rsidRPr="00C3116F" w:rsidRDefault="00C3116F" w:rsidP="00C3116F">
      <w:pPr>
        <w:spacing w:after="0" w:line="240" w:lineRule="auto"/>
        <w:ind w:left="567" w:right="260"/>
        <w:rPr>
          <w:noProof/>
          <w:sz w:val="24"/>
          <w:szCs w:val="24"/>
        </w:rPr>
      </w:pPr>
    </w:p>
    <w:p w14:paraId="69F80A46"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Role characteristics</w:t>
      </w:r>
    </w:p>
    <w:p w14:paraId="6BAF19B6" w14:textId="77777777" w:rsidR="00C3116F" w:rsidRPr="00C3116F" w:rsidRDefault="00C3116F" w:rsidP="00C3116F">
      <w:pPr>
        <w:spacing w:after="0" w:line="240" w:lineRule="auto"/>
        <w:ind w:left="567" w:right="260"/>
        <w:rPr>
          <w:noProof/>
          <w:sz w:val="24"/>
          <w:szCs w:val="24"/>
        </w:rPr>
      </w:pPr>
    </w:p>
    <w:p w14:paraId="377A45BE" w14:textId="77777777" w:rsidR="00C3116F" w:rsidRPr="00C3116F" w:rsidRDefault="00C3116F" w:rsidP="00C3116F">
      <w:pPr>
        <w:spacing w:after="0" w:line="240" w:lineRule="auto"/>
        <w:ind w:left="567" w:right="260"/>
        <w:rPr>
          <w:noProof/>
          <w:sz w:val="24"/>
          <w:szCs w:val="24"/>
        </w:rPr>
      </w:pPr>
      <w:r w:rsidRPr="00C3116F">
        <w:rPr>
          <w:noProof/>
          <w:sz w:val="24"/>
          <w:szCs w:val="24"/>
        </w:rPr>
        <w:t>At this level roles are front-line positions working directly with vulnerable children and adults. The roles are of two principle types;</w:t>
      </w:r>
    </w:p>
    <w:p w14:paraId="68D24FC8" w14:textId="77777777" w:rsidR="00C3116F" w:rsidRPr="00C3116F" w:rsidRDefault="00C3116F" w:rsidP="00C3116F">
      <w:pPr>
        <w:spacing w:after="0" w:line="240" w:lineRule="auto"/>
        <w:ind w:left="567" w:right="260"/>
        <w:rPr>
          <w:noProof/>
          <w:sz w:val="24"/>
          <w:szCs w:val="24"/>
        </w:rPr>
      </w:pPr>
    </w:p>
    <w:p w14:paraId="674B899D" w14:textId="77777777" w:rsidR="00C3116F" w:rsidRPr="00C3116F" w:rsidRDefault="00C3116F" w:rsidP="00C3116F">
      <w:pPr>
        <w:spacing w:after="0" w:line="240" w:lineRule="auto"/>
        <w:ind w:left="567" w:right="260"/>
        <w:rPr>
          <w:noProof/>
          <w:sz w:val="24"/>
          <w:szCs w:val="24"/>
        </w:rPr>
      </w:pPr>
      <w:r w:rsidRPr="00C3116F">
        <w:rPr>
          <w:noProof/>
          <w:sz w:val="24"/>
          <w:szCs w:val="24"/>
        </w:rPr>
        <w:t>Jobs requiring a theoretical understanding of social work or associated disciplines but without a management or supervisory component.</w:t>
      </w:r>
    </w:p>
    <w:p w14:paraId="57EB43B2" w14:textId="77777777" w:rsidR="00C3116F" w:rsidRPr="00C3116F" w:rsidRDefault="00C3116F" w:rsidP="00C3116F">
      <w:pPr>
        <w:spacing w:after="0" w:line="240" w:lineRule="auto"/>
        <w:ind w:left="567" w:right="260"/>
        <w:rPr>
          <w:noProof/>
          <w:sz w:val="24"/>
          <w:szCs w:val="24"/>
        </w:rPr>
      </w:pPr>
    </w:p>
    <w:p w14:paraId="7790E092" w14:textId="77777777" w:rsidR="00C3116F" w:rsidRPr="00C3116F" w:rsidRDefault="00C3116F" w:rsidP="00C3116F">
      <w:pPr>
        <w:spacing w:after="0" w:line="240" w:lineRule="auto"/>
        <w:ind w:left="567" w:right="260"/>
        <w:rPr>
          <w:noProof/>
          <w:sz w:val="24"/>
          <w:szCs w:val="24"/>
        </w:rPr>
      </w:pPr>
      <w:r w:rsidRPr="00C3116F">
        <w:rPr>
          <w:noProof/>
          <w:sz w:val="24"/>
          <w:szCs w:val="24"/>
        </w:rPr>
        <w:t>Jobs which have a significant management or supervisory responsibility with a strong technical and procedural knowledge base.</w:t>
      </w:r>
    </w:p>
    <w:p w14:paraId="0C044A3C" w14:textId="77777777" w:rsidR="00C3116F" w:rsidRPr="00C3116F" w:rsidRDefault="00C3116F" w:rsidP="00C3116F">
      <w:pPr>
        <w:spacing w:after="0" w:line="240" w:lineRule="auto"/>
        <w:ind w:left="567" w:right="260"/>
        <w:rPr>
          <w:noProof/>
          <w:sz w:val="24"/>
          <w:szCs w:val="24"/>
        </w:rPr>
      </w:pPr>
    </w:p>
    <w:p w14:paraId="1BA0A9C1"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in both types will require highly developed communication and problem-solving skills to meet the demands of the service users in their care.</w:t>
      </w:r>
    </w:p>
    <w:p w14:paraId="7D9D0F4D" w14:textId="77777777" w:rsidR="00C3116F" w:rsidRPr="00C3116F" w:rsidRDefault="00C3116F" w:rsidP="00C3116F">
      <w:pPr>
        <w:spacing w:after="0" w:line="240" w:lineRule="auto"/>
        <w:ind w:left="567" w:right="260"/>
        <w:rPr>
          <w:noProof/>
          <w:sz w:val="24"/>
          <w:szCs w:val="24"/>
        </w:rPr>
      </w:pPr>
    </w:p>
    <w:p w14:paraId="0D60F40A"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The knowledge and skills required</w:t>
      </w:r>
    </w:p>
    <w:p w14:paraId="5B7EC8DF" w14:textId="77777777" w:rsidR="00C3116F" w:rsidRPr="00C3116F" w:rsidRDefault="00C3116F" w:rsidP="00C3116F">
      <w:pPr>
        <w:spacing w:after="0" w:line="240" w:lineRule="auto"/>
        <w:ind w:left="567" w:right="260"/>
        <w:rPr>
          <w:noProof/>
          <w:sz w:val="24"/>
          <w:szCs w:val="24"/>
        </w:rPr>
      </w:pPr>
    </w:p>
    <w:p w14:paraId="29ECF76B"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with a theoretical understanding of social work may not have experience necessary to fulfil management or supervisory responsibilities, whereas those job holders with significant or supervisory responsibility often will, as their knowledge base will be based upon extensive direct experience in caring roles.</w:t>
      </w:r>
    </w:p>
    <w:p w14:paraId="02DC86A3" w14:textId="77777777" w:rsidR="00C3116F" w:rsidRPr="00C3116F" w:rsidRDefault="00C3116F" w:rsidP="00C3116F">
      <w:pPr>
        <w:spacing w:after="0" w:line="240" w:lineRule="auto"/>
        <w:ind w:left="567" w:right="260"/>
        <w:rPr>
          <w:noProof/>
          <w:sz w:val="24"/>
          <w:szCs w:val="24"/>
        </w:rPr>
      </w:pPr>
    </w:p>
    <w:p w14:paraId="6125C89F" w14:textId="77777777" w:rsidR="00C3116F" w:rsidRPr="00C3116F" w:rsidRDefault="00C3116F" w:rsidP="00C3116F">
      <w:pPr>
        <w:spacing w:after="0" w:line="240" w:lineRule="auto"/>
        <w:ind w:left="567" w:right="260"/>
        <w:rPr>
          <w:noProof/>
          <w:sz w:val="24"/>
          <w:szCs w:val="24"/>
        </w:rPr>
      </w:pPr>
      <w:r w:rsidRPr="00C3116F">
        <w:rPr>
          <w:noProof/>
          <w:sz w:val="24"/>
          <w:szCs w:val="24"/>
        </w:rPr>
        <w:t>The knowledge underpinning the duties and responsibilities of these roles may be either a sound grounding in the theoretical basis of social work practice, achieved through formal education; leading to appropriate certification, or an equivalent level of technical and procedural knowledge of the care function in a local government environment.</w:t>
      </w:r>
    </w:p>
    <w:p w14:paraId="018E5874" w14:textId="77777777" w:rsidR="00C3116F" w:rsidRPr="00C3116F" w:rsidRDefault="00C3116F" w:rsidP="00C3116F">
      <w:pPr>
        <w:spacing w:after="0" w:line="240" w:lineRule="auto"/>
        <w:ind w:left="567" w:right="260"/>
        <w:rPr>
          <w:noProof/>
          <w:sz w:val="24"/>
          <w:szCs w:val="24"/>
        </w:rPr>
      </w:pPr>
    </w:p>
    <w:p w14:paraId="4CE418B5" w14:textId="77777777" w:rsidR="00C3116F" w:rsidRPr="00C3116F" w:rsidRDefault="00C3116F" w:rsidP="00C3116F">
      <w:pPr>
        <w:spacing w:after="0" w:line="240" w:lineRule="auto"/>
        <w:ind w:left="567" w:right="260"/>
        <w:rPr>
          <w:noProof/>
          <w:sz w:val="24"/>
          <w:szCs w:val="24"/>
        </w:rPr>
      </w:pPr>
      <w:r w:rsidRPr="00C3116F">
        <w:rPr>
          <w:noProof/>
          <w:sz w:val="24"/>
          <w:szCs w:val="24"/>
        </w:rPr>
        <w:t>Roles at this level will engage with others in assisting with physical tasks requiring some modest manual dexterity. This might include basic cooking, artwork/ other domestic and vocational activities.</w:t>
      </w:r>
    </w:p>
    <w:p w14:paraId="6594A4EE" w14:textId="77777777" w:rsidR="00C3116F" w:rsidRPr="00C3116F" w:rsidRDefault="00C3116F" w:rsidP="00C3116F">
      <w:pPr>
        <w:spacing w:after="0" w:line="240" w:lineRule="auto"/>
        <w:ind w:left="567" w:right="260"/>
        <w:rPr>
          <w:noProof/>
          <w:sz w:val="24"/>
          <w:szCs w:val="24"/>
        </w:rPr>
      </w:pPr>
    </w:p>
    <w:p w14:paraId="12882737"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 xml:space="preserve">Thinking, planning and communication </w:t>
      </w:r>
    </w:p>
    <w:p w14:paraId="0C5519EA" w14:textId="77777777" w:rsidR="00C3116F" w:rsidRPr="00C3116F" w:rsidRDefault="00C3116F" w:rsidP="00C3116F">
      <w:pPr>
        <w:spacing w:after="0" w:line="240" w:lineRule="auto"/>
        <w:ind w:left="567" w:right="260"/>
        <w:rPr>
          <w:noProof/>
          <w:sz w:val="24"/>
          <w:szCs w:val="24"/>
        </w:rPr>
      </w:pPr>
    </w:p>
    <w:p w14:paraId="37CFCA93" w14:textId="77777777" w:rsidR="00C3116F" w:rsidRPr="00C3116F" w:rsidRDefault="00C3116F" w:rsidP="00C3116F">
      <w:pPr>
        <w:spacing w:after="0" w:line="240" w:lineRule="auto"/>
        <w:ind w:left="567" w:right="260"/>
        <w:rPr>
          <w:noProof/>
          <w:sz w:val="24"/>
          <w:szCs w:val="24"/>
        </w:rPr>
      </w:pPr>
      <w:r w:rsidRPr="00C3116F">
        <w:rPr>
          <w:noProof/>
          <w:sz w:val="24"/>
          <w:szCs w:val="24"/>
        </w:rPr>
        <w:t>Working with vulnerable children and adults presents a number of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399B3575" w14:textId="77777777" w:rsidR="00C3116F" w:rsidRPr="00C3116F" w:rsidRDefault="00C3116F" w:rsidP="00C3116F">
      <w:pPr>
        <w:spacing w:after="0" w:line="240" w:lineRule="auto"/>
        <w:ind w:left="567" w:right="260"/>
        <w:rPr>
          <w:noProof/>
          <w:sz w:val="24"/>
          <w:szCs w:val="24"/>
        </w:rPr>
      </w:pPr>
    </w:p>
    <w:p w14:paraId="125E8AFF"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500702AC" w14:textId="77777777" w:rsidR="00C3116F" w:rsidRPr="00C3116F" w:rsidRDefault="00C3116F" w:rsidP="00C3116F">
      <w:pPr>
        <w:spacing w:after="0" w:line="240" w:lineRule="auto"/>
        <w:ind w:left="567" w:right="260"/>
        <w:rPr>
          <w:noProof/>
          <w:sz w:val="24"/>
          <w:szCs w:val="24"/>
        </w:rPr>
      </w:pPr>
    </w:p>
    <w:p w14:paraId="37FE5681"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Decision making and innovation</w:t>
      </w:r>
    </w:p>
    <w:p w14:paraId="33495A6C" w14:textId="77777777" w:rsidR="00C3116F" w:rsidRPr="00C3116F" w:rsidRDefault="00C3116F" w:rsidP="00C3116F">
      <w:pPr>
        <w:spacing w:after="0" w:line="240" w:lineRule="auto"/>
        <w:ind w:left="567" w:right="260"/>
        <w:rPr>
          <w:noProof/>
          <w:sz w:val="24"/>
          <w:szCs w:val="24"/>
        </w:rPr>
      </w:pPr>
    </w:p>
    <w:p w14:paraId="201EA69F" w14:textId="77777777" w:rsidR="00C3116F" w:rsidRPr="00C3116F" w:rsidRDefault="00C3116F" w:rsidP="00C3116F">
      <w:pPr>
        <w:spacing w:after="0" w:line="240" w:lineRule="auto"/>
        <w:ind w:left="567" w:right="260"/>
        <w:rPr>
          <w:noProof/>
          <w:sz w:val="24"/>
          <w:szCs w:val="24"/>
        </w:rPr>
      </w:pPr>
      <w:r w:rsidRPr="00C3116F">
        <w:rPr>
          <w:noProof/>
          <w:sz w:val="24"/>
          <w:szCs w:val="24"/>
        </w:rPr>
        <w:t>The procedures, approaches and techniques required to fulfil the duties of these roles may be professionally based and/or defined by internal recognised protocols, but job holders will organise their own workload in accordance with changing demands and priorities. Although independently responding to problems, some of which may not have been encountered previously. Job holders will have access to advice and assistance from team managers or supervisors when serious issues arise.</w:t>
      </w:r>
    </w:p>
    <w:p w14:paraId="52EADCE1" w14:textId="77777777" w:rsidR="00C3116F" w:rsidRPr="00C3116F" w:rsidRDefault="00C3116F" w:rsidP="00C3116F">
      <w:pPr>
        <w:spacing w:after="0" w:line="240" w:lineRule="auto"/>
        <w:ind w:left="567" w:right="260"/>
        <w:rPr>
          <w:noProof/>
          <w:sz w:val="24"/>
          <w:szCs w:val="24"/>
        </w:rPr>
      </w:pPr>
    </w:p>
    <w:p w14:paraId="172889A5"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Areas of responsibility</w:t>
      </w:r>
    </w:p>
    <w:p w14:paraId="0935339F" w14:textId="77777777" w:rsidR="00C3116F" w:rsidRPr="00C3116F" w:rsidRDefault="00C3116F" w:rsidP="00C3116F">
      <w:pPr>
        <w:spacing w:after="0" w:line="240" w:lineRule="auto"/>
        <w:ind w:left="567" w:right="260"/>
        <w:rPr>
          <w:noProof/>
          <w:sz w:val="24"/>
          <w:szCs w:val="24"/>
        </w:rPr>
      </w:pPr>
    </w:p>
    <w:p w14:paraId="590A0279"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are responsible for the accurate and timely assessment of service user needs and the identification and delivery of appropriate care and welfare solutions under a variety of circumstances over more than a day to day timescale.</w:t>
      </w:r>
    </w:p>
    <w:p w14:paraId="700DC022" w14:textId="77777777" w:rsidR="00C3116F" w:rsidRPr="00C3116F" w:rsidRDefault="00C3116F" w:rsidP="00C3116F">
      <w:pPr>
        <w:spacing w:after="0" w:line="240" w:lineRule="auto"/>
        <w:ind w:left="567" w:right="260"/>
        <w:rPr>
          <w:noProof/>
          <w:sz w:val="24"/>
          <w:szCs w:val="24"/>
        </w:rPr>
      </w:pPr>
    </w:p>
    <w:p w14:paraId="5A90D2EF"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w:t>
      </w:r>
    </w:p>
    <w:p w14:paraId="00F8FAF6" w14:textId="77777777" w:rsidR="00C3116F" w:rsidRPr="00C3116F" w:rsidRDefault="00C3116F" w:rsidP="00C3116F">
      <w:pPr>
        <w:spacing w:after="0" w:line="240" w:lineRule="auto"/>
        <w:ind w:left="567" w:right="260"/>
        <w:rPr>
          <w:noProof/>
          <w:sz w:val="24"/>
          <w:szCs w:val="24"/>
        </w:rPr>
      </w:pPr>
    </w:p>
    <w:p w14:paraId="6AC06490" w14:textId="77777777" w:rsidR="00C3116F" w:rsidRPr="00C3116F" w:rsidRDefault="00C3116F" w:rsidP="00C3116F">
      <w:pPr>
        <w:spacing w:after="0" w:line="240" w:lineRule="auto"/>
        <w:ind w:left="567" w:right="260"/>
        <w:rPr>
          <w:noProof/>
          <w:sz w:val="24"/>
          <w:szCs w:val="24"/>
        </w:rPr>
      </w:pPr>
      <w:r w:rsidRPr="00C3116F">
        <w:rPr>
          <w:noProof/>
          <w:sz w:val="24"/>
          <w:szCs w:val="24"/>
        </w:rPr>
        <w:t>The second category of roles owe their status to an advanced level of theoretical understanding of their discipline without necessarily having an equivalent level of experience. These roles will not generally have any formal supervisory responsibilities.</w:t>
      </w:r>
    </w:p>
    <w:p w14:paraId="71DEE72A" w14:textId="77777777" w:rsidR="00C3116F" w:rsidRPr="00C3116F" w:rsidRDefault="00C3116F" w:rsidP="00C3116F">
      <w:pPr>
        <w:spacing w:after="0" w:line="240" w:lineRule="auto"/>
        <w:ind w:left="567" w:right="260"/>
        <w:rPr>
          <w:noProof/>
          <w:sz w:val="24"/>
          <w:szCs w:val="24"/>
        </w:rPr>
      </w:pPr>
    </w:p>
    <w:p w14:paraId="0F572F6C" w14:textId="77777777" w:rsidR="00C3116F" w:rsidRPr="00C3116F" w:rsidRDefault="00C3116F" w:rsidP="00C3116F">
      <w:pPr>
        <w:spacing w:after="0" w:line="240" w:lineRule="auto"/>
        <w:ind w:left="567" w:right="260"/>
        <w:rPr>
          <w:noProof/>
          <w:sz w:val="24"/>
          <w:szCs w:val="24"/>
        </w:rPr>
      </w:pPr>
      <w:r w:rsidRPr="00C3116F">
        <w:rPr>
          <w:noProof/>
          <w:sz w:val="24"/>
          <w:szCs w:val="24"/>
        </w:rPr>
        <w:t>These roles are unlikely to have any financial responsibilities beyond the occasional handling of modest amounts of cash, sometimes on behalf of others.</w:t>
      </w:r>
    </w:p>
    <w:p w14:paraId="1EC2EAC6" w14:textId="77777777" w:rsidR="00C3116F" w:rsidRPr="00C3116F" w:rsidRDefault="00C3116F" w:rsidP="00C3116F">
      <w:pPr>
        <w:spacing w:after="0" w:line="240" w:lineRule="auto"/>
        <w:ind w:left="567" w:right="260"/>
        <w:rPr>
          <w:noProof/>
          <w:sz w:val="24"/>
          <w:szCs w:val="24"/>
        </w:rPr>
      </w:pPr>
    </w:p>
    <w:p w14:paraId="36B56BAC"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68F072BC" w14:textId="77777777" w:rsidR="00C3116F" w:rsidRPr="00C3116F" w:rsidRDefault="00C3116F" w:rsidP="00C3116F">
      <w:pPr>
        <w:spacing w:after="0" w:line="240" w:lineRule="auto"/>
        <w:ind w:left="567" w:right="260"/>
        <w:rPr>
          <w:noProof/>
          <w:sz w:val="24"/>
          <w:szCs w:val="24"/>
        </w:rPr>
      </w:pPr>
    </w:p>
    <w:p w14:paraId="6B6E7A8C"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Impacts and demands</w:t>
      </w:r>
    </w:p>
    <w:p w14:paraId="08604E6A" w14:textId="77777777" w:rsidR="00C3116F" w:rsidRPr="00C3116F" w:rsidRDefault="00C3116F" w:rsidP="00C3116F">
      <w:pPr>
        <w:spacing w:after="0" w:line="240" w:lineRule="auto"/>
        <w:ind w:left="567" w:right="260"/>
        <w:rPr>
          <w:noProof/>
          <w:sz w:val="24"/>
          <w:szCs w:val="24"/>
        </w:rPr>
      </w:pPr>
    </w:p>
    <w:p w14:paraId="71ACEE3B" w14:textId="77777777" w:rsidR="00C3116F" w:rsidRPr="00C3116F" w:rsidRDefault="00C3116F" w:rsidP="00C3116F">
      <w:pPr>
        <w:spacing w:after="0" w:line="240" w:lineRule="auto"/>
        <w:ind w:left="567" w:right="260"/>
        <w:rPr>
          <w:noProof/>
          <w:sz w:val="24"/>
          <w:szCs w:val="24"/>
        </w:rPr>
      </w:pPr>
      <w:r w:rsidRPr="00C3116F">
        <w:rPr>
          <w:noProof/>
          <w:sz w:val="24"/>
          <w:szCs w:val="24"/>
        </w:rPr>
        <w:t>With the emphasis on working with others in a variety of settings, these roles will often see job holders either on their feet or engaged in activities requiring some ongoing physical effort.</w:t>
      </w:r>
    </w:p>
    <w:p w14:paraId="123C3058" w14:textId="77777777" w:rsidR="00C3116F" w:rsidRPr="00C3116F" w:rsidRDefault="00C3116F" w:rsidP="00C3116F">
      <w:pPr>
        <w:spacing w:after="0" w:line="240" w:lineRule="auto"/>
        <w:ind w:left="567" w:right="260"/>
        <w:rPr>
          <w:noProof/>
          <w:sz w:val="24"/>
          <w:szCs w:val="24"/>
        </w:rPr>
      </w:pPr>
    </w:p>
    <w:p w14:paraId="2A174A74" w14:textId="77777777" w:rsidR="00C3116F" w:rsidRPr="00C3116F" w:rsidRDefault="00C3116F" w:rsidP="00C3116F">
      <w:pPr>
        <w:spacing w:after="0" w:line="240" w:lineRule="auto"/>
        <w:ind w:left="567" w:right="260"/>
        <w:rPr>
          <w:noProof/>
          <w:sz w:val="24"/>
          <w:szCs w:val="24"/>
        </w:rPr>
      </w:pPr>
      <w:r w:rsidRPr="00C3116F">
        <w:rPr>
          <w:noProof/>
          <w:sz w:val="24"/>
          <w:szCs w:val="24"/>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5A901D9B" w14:textId="77777777" w:rsidR="00C3116F" w:rsidRPr="00C3116F" w:rsidRDefault="00C3116F" w:rsidP="00C3116F">
      <w:pPr>
        <w:spacing w:after="0" w:line="240" w:lineRule="auto"/>
        <w:ind w:left="567" w:right="260"/>
        <w:rPr>
          <w:noProof/>
          <w:sz w:val="24"/>
          <w:szCs w:val="24"/>
        </w:rPr>
      </w:pPr>
    </w:p>
    <w:p w14:paraId="65CC9880" w14:textId="77777777" w:rsidR="00C3116F" w:rsidRPr="00C3116F" w:rsidRDefault="00C3116F" w:rsidP="00C3116F">
      <w:pPr>
        <w:spacing w:after="0" w:line="240" w:lineRule="auto"/>
        <w:ind w:left="567" w:right="260"/>
        <w:rPr>
          <w:noProof/>
          <w:sz w:val="24"/>
          <w:szCs w:val="24"/>
        </w:rPr>
      </w:pPr>
      <w:r w:rsidRPr="00C3116F">
        <w:rPr>
          <w:noProof/>
          <w:sz w:val="24"/>
          <w:szCs w:val="24"/>
        </w:rPr>
        <w:t>The nature of these roles is such that most of the client relationships which job holders are required to develop and maintain, will need them to exert greater than normal emotional resilience, with some particularly challenging service users placing intense emotional demands upon them.</w:t>
      </w:r>
    </w:p>
    <w:p w14:paraId="7503547E" w14:textId="77777777" w:rsidR="00C3116F" w:rsidRPr="00C3116F" w:rsidRDefault="00C3116F" w:rsidP="00C3116F">
      <w:pPr>
        <w:spacing w:after="0" w:line="240" w:lineRule="auto"/>
        <w:ind w:left="567" w:right="260"/>
        <w:rPr>
          <w:noProof/>
          <w:sz w:val="24"/>
          <w:szCs w:val="24"/>
        </w:rPr>
      </w:pPr>
    </w:p>
    <w:p w14:paraId="035F6419" w14:textId="1BCD587E" w:rsidR="0017540B" w:rsidRPr="00EB5244" w:rsidRDefault="00C3116F" w:rsidP="00C3116F">
      <w:pPr>
        <w:spacing w:after="0" w:line="240" w:lineRule="auto"/>
        <w:ind w:left="567" w:right="260"/>
        <w:rPr>
          <w:noProof/>
          <w:sz w:val="24"/>
          <w:szCs w:val="24"/>
        </w:rPr>
      </w:pPr>
      <w:r w:rsidRPr="00C3116F">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4AD78" w14:textId="77777777" w:rsidR="00E266DA" w:rsidRDefault="00E266DA" w:rsidP="00F45CF3">
      <w:pPr>
        <w:spacing w:after="0" w:line="240" w:lineRule="auto"/>
      </w:pPr>
      <w:r>
        <w:separator/>
      </w:r>
    </w:p>
  </w:endnote>
  <w:endnote w:type="continuationSeparator" w:id="0">
    <w:p w14:paraId="6C105E4C" w14:textId="77777777" w:rsidR="00E266DA" w:rsidRDefault="00E266DA" w:rsidP="00F45CF3">
      <w:pPr>
        <w:spacing w:after="0" w:line="240" w:lineRule="auto"/>
      </w:pPr>
      <w:r>
        <w:continuationSeparator/>
      </w:r>
    </w:p>
  </w:endnote>
  <w:endnote w:type="continuationNotice" w:id="1">
    <w:p w14:paraId="21250BE2" w14:textId="77777777" w:rsidR="00E266DA" w:rsidRDefault="00E266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altName w:val="Cambria"/>
    <w:charset w:val="00"/>
    <w:family w:val="roman"/>
    <w:pitch w:val="variable"/>
    <w:sig w:usb0="A00000AF" w:usb1="4000205B" w:usb2="00000000" w:usb3="00000000" w:csb0="00000093" w:csb1="00000000"/>
  </w:font>
  <w:font w:name="Amasis MT Std Black">
    <w:altName w:val="Cambria"/>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2CDA6" w14:textId="77777777" w:rsidR="00E266DA" w:rsidRDefault="00E266DA" w:rsidP="00F45CF3">
      <w:pPr>
        <w:spacing w:after="0" w:line="240" w:lineRule="auto"/>
      </w:pPr>
      <w:r>
        <w:separator/>
      </w:r>
    </w:p>
  </w:footnote>
  <w:footnote w:type="continuationSeparator" w:id="0">
    <w:p w14:paraId="5C9BA725" w14:textId="77777777" w:rsidR="00E266DA" w:rsidRDefault="00E266DA" w:rsidP="00F45CF3">
      <w:pPr>
        <w:spacing w:after="0" w:line="240" w:lineRule="auto"/>
      </w:pPr>
      <w:r>
        <w:continuationSeparator/>
      </w:r>
    </w:p>
  </w:footnote>
  <w:footnote w:type="continuationNotice" w:id="1">
    <w:p w14:paraId="67F46CEB" w14:textId="77777777" w:rsidR="00E266DA" w:rsidRDefault="00E266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BD54187"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proofState w:spelling="clean" w:grammar="clean"/>
  <w:trackRevisions/>
  <w:documentProtection w:edit="trackedChange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3C16"/>
    <w:rsid w:val="000558FB"/>
    <w:rsid w:val="00071175"/>
    <w:rsid w:val="00074D41"/>
    <w:rsid w:val="000D2837"/>
    <w:rsid w:val="000D3426"/>
    <w:rsid w:val="001149A0"/>
    <w:rsid w:val="0012553A"/>
    <w:rsid w:val="0016309D"/>
    <w:rsid w:val="00163709"/>
    <w:rsid w:val="001667A1"/>
    <w:rsid w:val="00171D02"/>
    <w:rsid w:val="0017540B"/>
    <w:rsid w:val="001C30AB"/>
    <w:rsid w:val="001C79E6"/>
    <w:rsid w:val="001F4958"/>
    <w:rsid w:val="001F5934"/>
    <w:rsid w:val="00214A0D"/>
    <w:rsid w:val="002216F3"/>
    <w:rsid w:val="002248CB"/>
    <w:rsid w:val="00277277"/>
    <w:rsid w:val="00284DB2"/>
    <w:rsid w:val="00295940"/>
    <w:rsid w:val="002F1D77"/>
    <w:rsid w:val="00303BE8"/>
    <w:rsid w:val="00307EA8"/>
    <w:rsid w:val="00311C46"/>
    <w:rsid w:val="00347175"/>
    <w:rsid w:val="0037254F"/>
    <w:rsid w:val="00385034"/>
    <w:rsid w:val="00391248"/>
    <w:rsid w:val="0039715A"/>
    <w:rsid w:val="003C2084"/>
    <w:rsid w:val="003D4F55"/>
    <w:rsid w:val="004545CB"/>
    <w:rsid w:val="0047698C"/>
    <w:rsid w:val="004A1409"/>
    <w:rsid w:val="004B27E7"/>
    <w:rsid w:val="004B30AF"/>
    <w:rsid w:val="004B53E0"/>
    <w:rsid w:val="004D013D"/>
    <w:rsid w:val="004E0326"/>
    <w:rsid w:val="00505EC9"/>
    <w:rsid w:val="00511E1C"/>
    <w:rsid w:val="00525EB5"/>
    <w:rsid w:val="00553F65"/>
    <w:rsid w:val="005614A5"/>
    <w:rsid w:val="005907E5"/>
    <w:rsid w:val="005B344B"/>
    <w:rsid w:val="005C4CF4"/>
    <w:rsid w:val="005D75C4"/>
    <w:rsid w:val="005D7EAB"/>
    <w:rsid w:val="005F2CFE"/>
    <w:rsid w:val="00623D69"/>
    <w:rsid w:val="00632992"/>
    <w:rsid w:val="00637D75"/>
    <w:rsid w:val="00643E56"/>
    <w:rsid w:val="00644957"/>
    <w:rsid w:val="0066451A"/>
    <w:rsid w:val="0066474B"/>
    <w:rsid w:val="006C3E21"/>
    <w:rsid w:val="006D7CC1"/>
    <w:rsid w:val="006E6FF3"/>
    <w:rsid w:val="00706A7E"/>
    <w:rsid w:val="00736173"/>
    <w:rsid w:val="0074280A"/>
    <w:rsid w:val="0076639E"/>
    <w:rsid w:val="007863A5"/>
    <w:rsid w:val="00787181"/>
    <w:rsid w:val="007A59C9"/>
    <w:rsid w:val="007B1B1B"/>
    <w:rsid w:val="007B7D30"/>
    <w:rsid w:val="007C2521"/>
    <w:rsid w:val="007E4EA3"/>
    <w:rsid w:val="0080317F"/>
    <w:rsid w:val="008416E5"/>
    <w:rsid w:val="00844611"/>
    <w:rsid w:val="00851843"/>
    <w:rsid w:val="00867B0A"/>
    <w:rsid w:val="008708B5"/>
    <w:rsid w:val="00882F7E"/>
    <w:rsid w:val="00892F05"/>
    <w:rsid w:val="008A3763"/>
    <w:rsid w:val="008B4CF5"/>
    <w:rsid w:val="008B6A35"/>
    <w:rsid w:val="008C5F8B"/>
    <w:rsid w:val="008D74C5"/>
    <w:rsid w:val="008E461A"/>
    <w:rsid w:val="009102C1"/>
    <w:rsid w:val="009330EB"/>
    <w:rsid w:val="0094093A"/>
    <w:rsid w:val="009657AB"/>
    <w:rsid w:val="009A58DA"/>
    <w:rsid w:val="009F600C"/>
    <w:rsid w:val="00A5170B"/>
    <w:rsid w:val="00A93AC9"/>
    <w:rsid w:val="00AB021E"/>
    <w:rsid w:val="00AF1785"/>
    <w:rsid w:val="00B01282"/>
    <w:rsid w:val="00B016EE"/>
    <w:rsid w:val="00B03B56"/>
    <w:rsid w:val="00B350BA"/>
    <w:rsid w:val="00B6332C"/>
    <w:rsid w:val="00B73D5B"/>
    <w:rsid w:val="00B8508A"/>
    <w:rsid w:val="00B86474"/>
    <w:rsid w:val="00BE04DC"/>
    <w:rsid w:val="00BE4A59"/>
    <w:rsid w:val="00BE5651"/>
    <w:rsid w:val="00BE750A"/>
    <w:rsid w:val="00C07A27"/>
    <w:rsid w:val="00C12D0C"/>
    <w:rsid w:val="00C13EF1"/>
    <w:rsid w:val="00C20E4D"/>
    <w:rsid w:val="00C3116F"/>
    <w:rsid w:val="00C42EE5"/>
    <w:rsid w:val="00C432C6"/>
    <w:rsid w:val="00C577BE"/>
    <w:rsid w:val="00C8756F"/>
    <w:rsid w:val="00C878AD"/>
    <w:rsid w:val="00C94B65"/>
    <w:rsid w:val="00CB2D31"/>
    <w:rsid w:val="00CD5B21"/>
    <w:rsid w:val="00CD6C03"/>
    <w:rsid w:val="00D12B22"/>
    <w:rsid w:val="00D24BC4"/>
    <w:rsid w:val="00D45C4B"/>
    <w:rsid w:val="00D56377"/>
    <w:rsid w:val="00D705B5"/>
    <w:rsid w:val="00D726CF"/>
    <w:rsid w:val="00D805A9"/>
    <w:rsid w:val="00D9351C"/>
    <w:rsid w:val="00DB5C5B"/>
    <w:rsid w:val="00DD54FB"/>
    <w:rsid w:val="00DF668B"/>
    <w:rsid w:val="00DF6965"/>
    <w:rsid w:val="00E12DD9"/>
    <w:rsid w:val="00E227ED"/>
    <w:rsid w:val="00E266DA"/>
    <w:rsid w:val="00E40EE0"/>
    <w:rsid w:val="00E44FEA"/>
    <w:rsid w:val="00EA7E50"/>
    <w:rsid w:val="00EB5244"/>
    <w:rsid w:val="00EB7955"/>
    <w:rsid w:val="00EE770C"/>
    <w:rsid w:val="00EF496D"/>
    <w:rsid w:val="00F378AB"/>
    <w:rsid w:val="00F40E87"/>
    <w:rsid w:val="00F451E4"/>
    <w:rsid w:val="00F45CF3"/>
    <w:rsid w:val="00F57823"/>
    <w:rsid w:val="00F6045D"/>
    <w:rsid w:val="00F665D7"/>
    <w:rsid w:val="00F70F28"/>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569D5B4B-7349-466B-BE4A-07D85F34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1667A1"/>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8CC2000A-EC63-4113-87BD-572BE288E345}">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F88D72A-F778-4ACE-A3D6-F2B60EC6AA71}">
  <ds:schemaRefs>
    <ds:schemaRef ds:uri="http://schemas.microsoft.com/office/2006/metadata/properties"/>
    <ds:schemaRef ds:uri="http://www.w3.org/2000/xmlns/"/>
    <ds:schemaRef ds:uri="http://schemas.microsoft.com/office/infopath/2007/PartnerControls"/>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1334</Words>
  <Characters>7607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Richard Wilkes</cp:lastModifiedBy>
  <cp:revision>15</cp:revision>
  <cp:lastPrinted>2024-04-13T01:00:00Z</cp:lastPrinted>
  <dcterms:created xsi:type="dcterms:W3CDTF">2024-06-06T17:01:00Z</dcterms:created>
  <dcterms:modified xsi:type="dcterms:W3CDTF">2024-07-10T22:27:00Z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444;#Linda Ellen;#93;#Sasha Gudgeon;#406;#Andrea Natale;#349;#Liz Luck;#368;#Farah Wells;#366;#Lulu Mthethwa;#367;#Susan Tricker;#389;#Helen Butler;#335;#Michelle Segui;#1499;#Benjamin Hyman;#527;#Cheryl Gray;#505;#Richard Wilkes;#285;#Nancy Adam;#1290;#Yangchen Dolma;#298;#Elizabeth Sewell;#292;#Elizabeth Capper</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