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0E68C8C7" w:rsidR="00D72A65" w:rsidRDefault="00C2287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Fraud Officer</w:t>
                              </w:r>
                            </w:p>
                            <w:p w14:paraId="64661BA3" w14:textId="71996BB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D0D83">
                                <w:rPr>
                                  <w:rFonts w:hAnsi="Calibri"/>
                                  <w:color w:val="FFFFFF" w:themeColor="background1"/>
                                  <w:kern w:val="24"/>
                                  <w:sz w:val="28"/>
                                  <w:szCs w:val="28"/>
                                </w:rPr>
                                <w:t xml:space="preserve"> JE2375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E68C8C7" w:rsidR="00D72A65" w:rsidRDefault="00C2287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Fraud Officer</w:t>
                        </w:r>
                      </w:p>
                      <w:p w14:paraId="64661BA3" w14:textId="71996BB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D0D83">
                          <w:rPr>
                            <w:rFonts w:hAnsi="Calibri"/>
                            <w:color w:val="FFFFFF" w:themeColor="background1"/>
                            <w:kern w:val="24"/>
                            <w:sz w:val="28"/>
                            <w:szCs w:val="28"/>
                          </w:rPr>
                          <w:t xml:space="preserve"> JE2375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794"/>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4EDCC12" w:rsidR="00D72A65" w:rsidRPr="001C2894" w:rsidRDefault="00C2287D">
            <w:pPr>
              <w:rPr>
                <w:rFonts w:cstheme="minorHAnsi"/>
                <w:color w:val="000000" w:themeColor="text1"/>
              </w:rPr>
            </w:pPr>
            <w:r>
              <w:rPr>
                <w:rFonts w:cstheme="minorHAnsi"/>
                <w:color w:val="000000" w:themeColor="text1"/>
              </w:rPr>
              <w:t>Audit &amp;Risk</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1BAA3A8" w:rsidR="00D72A65" w:rsidRPr="001C2894" w:rsidRDefault="00C2287D">
            <w:pPr>
              <w:rPr>
                <w:rFonts w:cstheme="minorHAnsi"/>
                <w:color w:val="000000" w:themeColor="text1"/>
              </w:rPr>
            </w:pPr>
            <w:r>
              <w:rPr>
                <w:rFonts w:cstheme="minorHAnsi"/>
                <w:color w:val="000000" w:themeColor="text1"/>
              </w:rPr>
              <w:t>Audit &amp; Risk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0254B0F" w:rsidR="000F04CA" w:rsidRPr="001C2894" w:rsidRDefault="00C2287D"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2D0F682F" w:rsidR="00E2449F" w:rsidRDefault="00E2449F" w:rsidP="000F04CA">
            <w:pPr>
              <w:rPr>
                <w:rFonts w:cstheme="minorHAnsi"/>
                <w:b/>
                <w:bCs/>
                <w:color w:val="000000" w:themeColor="text1"/>
              </w:rPr>
            </w:pPr>
            <w:r>
              <w:rPr>
                <w:rFonts w:cstheme="minorHAnsi"/>
                <w:b/>
                <w:bCs/>
                <w:color w:val="000000" w:themeColor="text1"/>
              </w:rPr>
              <w:t>Political</w:t>
            </w:r>
            <w:r w:rsidR="00407326">
              <w:rPr>
                <w:rFonts w:cstheme="minorHAnsi"/>
                <w:b/>
                <w:bCs/>
                <w:color w:val="000000" w:themeColor="text1"/>
              </w:rPr>
              <w:t xml:space="preserve"> </w:t>
            </w:r>
            <w:r>
              <w:rPr>
                <w:rFonts w:cstheme="minorHAnsi"/>
                <w:b/>
                <w:bCs/>
                <w:color w:val="000000" w:themeColor="text1"/>
              </w:rPr>
              <w:t>restricted</w:t>
            </w:r>
          </w:p>
        </w:tc>
        <w:tc>
          <w:tcPr>
            <w:tcW w:w="8363" w:type="dxa"/>
          </w:tcPr>
          <w:p w14:paraId="7CE31787" w14:textId="51BD4EF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68C7097" w:rsidR="00251D49" w:rsidRDefault="00C2287D" w:rsidP="000F04CA">
            <w:pPr>
              <w:rPr>
                <w:rFonts w:cstheme="minorHAnsi"/>
                <w:color w:val="000000" w:themeColor="text1"/>
              </w:rPr>
            </w:pPr>
            <w:r>
              <w:rPr>
                <w:rFonts w:cstheme="minorHAnsi"/>
                <w:color w:val="000000" w:themeColor="text1"/>
              </w:rPr>
              <w:t>May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25"/>
        <w:gridCol w:w="8131"/>
      </w:tblGrid>
      <w:tr w:rsidR="001C2894" w:rsidRPr="00BC644A" w14:paraId="3FF8FAA1" w14:textId="77777777" w:rsidTr="1DC5EADD">
        <w:tc>
          <w:tcPr>
            <w:tcW w:w="525" w:type="dxa"/>
          </w:tcPr>
          <w:p w14:paraId="6970A004" w14:textId="1F49E059" w:rsidR="001C2894" w:rsidRPr="00BC644A" w:rsidRDefault="001C2894" w:rsidP="00D72A65">
            <w:pPr>
              <w:rPr>
                <w:rFonts w:cstheme="minorHAnsi"/>
                <w:b/>
                <w:bCs/>
                <w:color w:val="000000" w:themeColor="text1"/>
              </w:rPr>
            </w:pPr>
            <w:r w:rsidRPr="00BC644A">
              <w:rPr>
                <w:rFonts w:cstheme="minorHAnsi"/>
                <w:b/>
                <w:bCs/>
                <w:color w:val="000000" w:themeColor="text1"/>
              </w:rPr>
              <w:t>1.</w:t>
            </w:r>
          </w:p>
        </w:tc>
        <w:tc>
          <w:tcPr>
            <w:tcW w:w="8131" w:type="dxa"/>
          </w:tcPr>
          <w:p w14:paraId="20B7A31B" w14:textId="44ED05D9" w:rsidR="00BC644A" w:rsidRPr="00BC644A" w:rsidRDefault="0067444B" w:rsidP="00D72A65">
            <w:pPr>
              <w:rPr>
                <w:rFonts w:cstheme="minorHAnsi"/>
              </w:rPr>
            </w:pPr>
            <w:r w:rsidRPr="00BC644A">
              <w:rPr>
                <w:rFonts w:cstheme="minorHAnsi"/>
              </w:rPr>
              <w:t>Promptly and professionally investigate claims of fraud against the Council in accordance with the Council’s Anti-Fraud policy and regulatory best practice to protect the interests of the Council and the public purse</w:t>
            </w:r>
          </w:p>
        </w:tc>
      </w:tr>
      <w:tr w:rsidR="001C2894" w:rsidRPr="00BC644A" w14:paraId="3FE83EC9" w14:textId="77777777" w:rsidTr="1DC5EADD">
        <w:tc>
          <w:tcPr>
            <w:tcW w:w="525" w:type="dxa"/>
          </w:tcPr>
          <w:p w14:paraId="4DB3D8B1" w14:textId="0C243E34" w:rsidR="001C2894" w:rsidRPr="00BC644A" w:rsidRDefault="001C2894" w:rsidP="00D72A65">
            <w:pPr>
              <w:rPr>
                <w:rFonts w:cstheme="minorHAnsi"/>
                <w:b/>
                <w:bCs/>
                <w:color w:val="000000" w:themeColor="text1"/>
              </w:rPr>
            </w:pPr>
            <w:r w:rsidRPr="00BC644A">
              <w:rPr>
                <w:rFonts w:cstheme="minorHAnsi"/>
                <w:b/>
                <w:bCs/>
                <w:color w:val="000000" w:themeColor="text1"/>
              </w:rPr>
              <w:t>2.</w:t>
            </w:r>
          </w:p>
        </w:tc>
        <w:tc>
          <w:tcPr>
            <w:tcW w:w="8131" w:type="dxa"/>
          </w:tcPr>
          <w:p w14:paraId="078CCEDA" w14:textId="6B1EDAF8" w:rsidR="0067444B" w:rsidRPr="00BC644A" w:rsidRDefault="0067444B" w:rsidP="00D72A65">
            <w:pPr>
              <w:rPr>
                <w:rFonts w:cstheme="minorHAnsi"/>
              </w:rPr>
            </w:pPr>
            <w:r w:rsidRPr="00BC644A">
              <w:rPr>
                <w:rFonts w:cstheme="minorHAnsi"/>
              </w:rPr>
              <w:t xml:space="preserve">Promptly and professionally obtain information and evidence to identify the appropriate further action required and recommend prosecution / sanction etc including the identification of service improvement </w:t>
            </w:r>
          </w:p>
        </w:tc>
      </w:tr>
      <w:tr w:rsidR="001C2894" w:rsidRPr="00BC644A" w14:paraId="35DEEE55" w14:textId="77777777" w:rsidTr="1DC5EADD">
        <w:tc>
          <w:tcPr>
            <w:tcW w:w="525" w:type="dxa"/>
          </w:tcPr>
          <w:p w14:paraId="4BBD8AB2" w14:textId="080860FF" w:rsidR="001C2894" w:rsidRPr="00BC644A" w:rsidRDefault="001C2894" w:rsidP="00D72A65">
            <w:pPr>
              <w:rPr>
                <w:rFonts w:cstheme="minorHAnsi"/>
                <w:b/>
                <w:bCs/>
                <w:color w:val="000000" w:themeColor="text1"/>
              </w:rPr>
            </w:pPr>
            <w:r w:rsidRPr="00BC644A">
              <w:rPr>
                <w:rFonts w:cstheme="minorHAnsi"/>
                <w:b/>
                <w:bCs/>
                <w:color w:val="000000" w:themeColor="text1"/>
              </w:rPr>
              <w:t>3.</w:t>
            </w:r>
          </w:p>
        </w:tc>
        <w:tc>
          <w:tcPr>
            <w:tcW w:w="8131" w:type="dxa"/>
          </w:tcPr>
          <w:p w14:paraId="417EBB29" w14:textId="79B96CF7" w:rsidR="001C2894" w:rsidRPr="00BC644A" w:rsidRDefault="0067444B" w:rsidP="00D72A65">
            <w:pPr>
              <w:rPr>
                <w:rFonts w:cstheme="minorHAnsi"/>
                <w:b/>
                <w:bCs/>
                <w:color w:val="000000" w:themeColor="text1"/>
              </w:rPr>
            </w:pPr>
            <w:r w:rsidRPr="00BC644A">
              <w:rPr>
                <w:rFonts w:cstheme="minorHAnsi"/>
              </w:rPr>
              <w:t xml:space="preserve">Develop and deliver programmes of </w:t>
            </w:r>
            <w:r w:rsidR="00BC644A" w:rsidRPr="00BC644A">
              <w:rPr>
                <w:rFonts w:cstheme="minorHAnsi"/>
              </w:rPr>
              <w:t>Anti-Fraud</w:t>
            </w:r>
            <w:r w:rsidRPr="00BC644A">
              <w:rPr>
                <w:rFonts w:cstheme="minorHAnsi"/>
              </w:rPr>
              <w:t xml:space="preserve"> Proactive work as resources permit</w:t>
            </w:r>
          </w:p>
        </w:tc>
      </w:tr>
      <w:tr w:rsidR="0067444B" w:rsidRPr="00BC644A" w14:paraId="699941E4" w14:textId="77777777" w:rsidTr="1DC5EADD">
        <w:tc>
          <w:tcPr>
            <w:tcW w:w="525" w:type="dxa"/>
          </w:tcPr>
          <w:p w14:paraId="446A15EF" w14:textId="2A633954" w:rsidR="0067444B" w:rsidRPr="00BC644A" w:rsidRDefault="0067444B" w:rsidP="0067444B">
            <w:pPr>
              <w:rPr>
                <w:rFonts w:cstheme="minorHAnsi"/>
                <w:b/>
                <w:bCs/>
                <w:color w:val="000000" w:themeColor="text1"/>
              </w:rPr>
            </w:pPr>
            <w:r w:rsidRPr="00BC644A">
              <w:rPr>
                <w:rFonts w:cstheme="minorHAnsi"/>
                <w:b/>
                <w:bCs/>
                <w:color w:val="000000" w:themeColor="text1"/>
              </w:rPr>
              <w:t>4.</w:t>
            </w:r>
          </w:p>
        </w:tc>
        <w:tc>
          <w:tcPr>
            <w:tcW w:w="8131" w:type="dxa"/>
          </w:tcPr>
          <w:p w14:paraId="34D8509C" w14:textId="0154BEFF" w:rsidR="0067444B" w:rsidRPr="00BC644A" w:rsidRDefault="0067444B" w:rsidP="0067444B">
            <w:pPr>
              <w:rPr>
                <w:rFonts w:cstheme="minorHAnsi"/>
                <w:b/>
                <w:bCs/>
                <w:color w:val="000000" w:themeColor="text1"/>
              </w:rPr>
            </w:pPr>
            <w:r w:rsidRPr="00BC644A">
              <w:rPr>
                <w:rFonts w:cstheme="minorHAnsi"/>
              </w:rPr>
              <w:t>Maintain and promote effective relationships with other investigative and prosecutorial organisations</w:t>
            </w:r>
          </w:p>
        </w:tc>
      </w:tr>
      <w:tr w:rsidR="0067444B" w:rsidRPr="00BC644A" w14:paraId="3B1300D7" w14:textId="77777777" w:rsidTr="1DC5EADD">
        <w:tc>
          <w:tcPr>
            <w:tcW w:w="525" w:type="dxa"/>
          </w:tcPr>
          <w:p w14:paraId="3781C423" w14:textId="45F593C5" w:rsidR="0067444B" w:rsidRPr="00BC644A" w:rsidRDefault="0067444B" w:rsidP="0067444B">
            <w:pPr>
              <w:rPr>
                <w:rFonts w:cstheme="minorHAnsi"/>
                <w:b/>
                <w:bCs/>
                <w:color w:val="000000" w:themeColor="text1"/>
              </w:rPr>
            </w:pPr>
            <w:r w:rsidRPr="00BC644A">
              <w:rPr>
                <w:rFonts w:cstheme="minorHAnsi"/>
                <w:b/>
                <w:bCs/>
                <w:color w:val="000000" w:themeColor="text1"/>
              </w:rPr>
              <w:t>5.</w:t>
            </w:r>
          </w:p>
        </w:tc>
        <w:tc>
          <w:tcPr>
            <w:tcW w:w="8131" w:type="dxa"/>
          </w:tcPr>
          <w:p w14:paraId="084E334F" w14:textId="33DE8244" w:rsidR="0067444B" w:rsidRPr="00BC644A" w:rsidRDefault="00BC644A" w:rsidP="1DC5EADD">
            <w:pPr>
              <w:rPr>
                <w:b/>
                <w:bCs/>
                <w:color w:val="000000" w:themeColor="text1"/>
              </w:rPr>
            </w:pPr>
            <w:r w:rsidRPr="1DC5EADD">
              <w:t>Deliver authorised prosecutions and sanctions including preparation of court evidence, on occasion presentation at court and provide any support required to robustly protect the Council’s interest where attempts to defraud the taxpayer are evidenced</w:t>
            </w:r>
          </w:p>
        </w:tc>
      </w:tr>
      <w:tr w:rsidR="0067444B" w:rsidRPr="00BC644A" w14:paraId="58126D46" w14:textId="77777777" w:rsidTr="1DC5EADD">
        <w:tc>
          <w:tcPr>
            <w:tcW w:w="525" w:type="dxa"/>
          </w:tcPr>
          <w:p w14:paraId="63141936" w14:textId="2D458632" w:rsidR="0067444B" w:rsidRPr="00BC644A" w:rsidRDefault="0067444B" w:rsidP="0067444B">
            <w:pPr>
              <w:rPr>
                <w:rFonts w:cstheme="minorHAnsi"/>
                <w:b/>
                <w:bCs/>
                <w:color w:val="000000" w:themeColor="text1"/>
              </w:rPr>
            </w:pPr>
            <w:r w:rsidRPr="00BC644A">
              <w:rPr>
                <w:rFonts w:cstheme="minorHAnsi"/>
                <w:b/>
                <w:bCs/>
                <w:color w:val="000000" w:themeColor="text1"/>
              </w:rPr>
              <w:t>6.</w:t>
            </w:r>
          </w:p>
        </w:tc>
        <w:tc>
          <w:tcPr>
            <w:tcW w:w="8131" w:type="dxa"/>
          </w:tcPr>
          <w:p w14:paraId="1518160B" w14:textId="728D1EA3" w:rsidR="0067444B" w:rsidRPr="00BC644A" w:rsidRDefault="0067444B" w:rsidP="0067444B">
            <w:pPr>
              <w:rPr>
                <w:rFonts w:cstheme="minorHAnsi"/>
                <w:b/>
                <w:bCs/>
                <w:color w:val="000000" w:themeColor="text1"/>
              </w:rPr>
            </w:pPr>
            <w:r w:rsidRPr="00BC644A">
              <w:rPr>
                <w:rFonts w:cstheme="minorHAnsi"/>
              </w:rPr>
              <w:t xml:space="preserve">Maintain and update the Council’s software </w:t>
            </w:r>
            <w:r w:rsidR="00BC644A" w:rsidRPr="00BC644A">
              <w:rPr>
                <w:rFonts w:cstheme="minorHAnsi"/>
              </w:rPr>
              <w:t>system with</w:t>
            </w:r>
            <w:r w:rsidRPr="00BC644A">
              <w:rPr>
                <w:rFonts w:cstheme="minorHAnsi"/>
              </w:rPr>
              <w:t xml:space="preserve"> investigative information to properly record claim history and circumstances and to highlight patterns and trends.</w:t>
            </w:r>
          </w:p>
        </w:tc>
      </w:tr>
    </w:tbl>
    <w:p w14:paraId="6A19CE67" w14:textId="4E9466E7" w:rsidR="001C2894" w:rsidRPr="00BC644A" w:rsidRDefault="001B4BCF" w:rsidP="001B4BCF">
      <w:pPr>
        <w:jc w:val="center"/>
        <w:rPr>
          <w:rFonts w:cstheme="minorHAnsi"/>
          <w:b/>
          <w:bCs/>
          <w:color w:val="000000" w:themeColor="text1"/>
        </w:rPr>
      </w:pPr>
      <w:r w:rsidRPr="00BC644A">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BC644A" w:rsidRDefault="00D72A65" w:rsidP="00D72A65">
      <w:pPr>
        <w:rPr>
          <w:rFonts w:cstheme="minorHAnsi"/>
          <w:b/>
          <w:bCs/>
          <w:color w:val="000000" w:themeColor="text1"/>
        </w:rPr>
      </w:pPr>
      <w:r w:rsidRPr="00BC644A">
        <w:rPr>
          <w:rFonts w:cstheme="minorHAnsi"/>
          <w:b/>
          <w:bCs/>
          <w:color w:val="000000" w:themeColor="text1"/>
        </w:rPr>
        <w:t>Essential Requirements</w:t>
      </w:r>
      <w:r w:rsidR="00A62900" w:rsidRPr="00BC644A">
        <w:rPr>
          <w:rFonts w:cstheme="minorHAnsi"/>
          <w:b/>
          <w:bCs/>
          <w:color w:val="000000" w:themeColor="text1"/>
        </w:rPr>
        <w:t xml:space="preserve"> (</w:t>
      </w:r>
      <w:r w:rsidR="00E2449F" w:rsidRPr="00BC644A">
        <w:rPr>
          <w:rFonts w:cstheme="minorHAnsi"/>
          <w:b/>
          <w:bCs/>
          <w:color w:val="000000" w:themeColor="text1"/>
        </w:rPr>
        <w:t>key skills &amp; q</w:t>
      </w:r>
      <w:r w:rsidR="00A62900" w:rsidRPr="00BC644A">
        <w:rPr>
          <w:rFonts w:cstheme="minorHAnsi"/>
          <w:b/>
          <w:bCs/>
          <w:color w:val="000000" w:themeColor="text1"/>
        </w:rPr>
        <w:t>ualifications)</w:t>
      </w:r>
    </w:p>
    <w:tbl>
      <w:tblPr>
        <w:tblStyle w:val="TableGrid"/>
        <w:tblW w:w="0" w:type="auto"/>
        <w:tblLook w:val="04A0" w:firstRow="1" w:lastRow="0" w:firstColumn="1" w:lastColumn="0" w:noHBand="0" w:noVBand="1"/>
      </w:tblPr>
      <w:tblGrid>
        <w:gridCol w:w="525"/>
        <w:gridCol w:w="8131"/>
      </w:tblGrid>
      <w:tr w:rsidR="001C2894" w:rsidRPr="00BC644A" w14:paraId="4121B0CF" w14:textId="77777777" w:rsidTr="1DC5EADD">
        <w:tc>
          <w:tcPr>
            <w:tcW w:w="525" w:type="dxa"/>
          </w:tcPr>
          <w:p w14:paraId="08782BF4" w14:textId="77777777" w:rsidR="001C2894" w:rsidRPr="00BC644A" w:rsidRDefault="001C2894" w:rsidP="00892352">
            <w:pPr>
              <w:rPr>
                <w:rFonts w:cstheme="minorHAnsi"/>
                <w:b/>
                <w:bCs/>
                <w:color w:val="000000" w:themeColor="text1"/>
              </w:rPr>
            </w:pPr>
            <w:r w:rsidRPr="00BC644A">
              <w:rPr>
                <w:rFonts w:cstheme="minorHAnsi"/>
                <w:b/>
                <w:bCs/>
                <w:color w:val="000000" w:themeColor="text1"/>
              </w:rPr>
              <w:t>1.</w:t>
            </w:r>
          </w:p>
        </w:tc>
        <w:tc>
          <w:tcPr>
            <w:tcW w:w="8131" w:type="dxa"/>
          </w:tcPr>
          <w:p w14:paraId="053AF04F" w14:textId="29C80664" w:rsidR="001C2894" w:rsidRPr="00BC644A" w:rsidRDefault="00332E00" w:rsidP="1DC5EADD">
            <w:pPr>
              <w:rPr>
                <w:b/>
                <w:bCs/>
                <w:color w:val="000000" w:themeColor="text1"/>
              </w:rPr>
            </w:pPr>
            <w:r w:rsidRPr="00BC644A">
              <w:rPr>
                <w:rFonts w:cstheme="minorHAnsi"/>
              </w:rPr>
              <w:t xml:space="preserve">Demonstrable </w:t>
            </w:r>
            <w:r>
              <w:rPr>
                <w:rFonts w:cstheme="minorHAnsi"/>
              </w:rPr>
              <w:t xml:space="preserve">extensive </w:t>
            </w:r>
            <w:r w:rsidRPr="00BC644A">
              <w:rPr>
                <w:rFonts w:cstheme="minorHAnsi"/>
              </w:rPr>
              <w:t>experience of fraud investigations and proactive Anti -Fraud programmes</w:t>
            </w:r>
          </w:p>
        </w:tc>
      </w:tr>
      <w:tr w:rsidR="001C2894" w:rsidRPr="00BC644A" w14:paraId="681CDD22" w14:textId="77777777" w:rsidTr="1DC5EADD">
        <w:tc>
          <w:tcPr>
            <w:tcW w:w="525" w:type="dxa"/>
          </w:tcPr>
          <w:p w14:paraId="4488D22F" w14:textId="77777777" w:rsidR="001C2894" w:rsidRPr="00BC644A" w:rsidRDefault="001C2894" w:rsidP="00892352">
            <w:pPr>
              <w:rPr>
                <w:rFonts w:cstheme="minorHAnsi"/>
                <w:b/>
                <w:bCs/>
                <w:color w:val="000000" w:themeColor="text1"/>
              </w:rPr>
            </w:pPr>
            <w:r w:rsidRPr="00BC644A">
              <w:rPr>
                <w:rFonts w:cstheme="minorHAnsi"/>
                <w:b/>
                <w:bCs/>
                <w:color w:val="000000" w:themeColor="text1"/>
              </w:rPr>
              <w:t>2.</w:t>
            </w:r>
          </w:p>
        </w:tc>
        <w:tc>
          <w:tcPr>
            <w:tcW w:w="8131" w:type="dxa"/>
          </w:tcPr>
          <w:p w14:paraId="4FF43EDF" w14:textId="07357DCA" w:rsidR="001C2894" w:rsidRPr="00BC644A" w:rsidRDefault="00332E00" w:rsidP="00892352">
            <w:pPr>
              <w:rPr>
                <w:rFonts w:cstheme="minorHAnsi"/>
                <w:b/>
                <w:bCs/>
                <w:color w:val="000000" w:themeColor="text1"/>
              </w:rPr>
            </w:pPr>
            <w:r w:rsidRPr="1DC5EADD">
              <w:t>Graduate calibre and a fraud qualification (</w:t>
            </w:r>
            <w:proofErr w:type="gramStart"/>
            <w:r w:rsidR="00DD0D83" w:rsidRPr="1DC5EADD">
              <w:t>e.g.</w:t>
            </w:r>
            <w:proofErr w:type="gramEnd"/>
            <w:r w:rsidRPr="1DC5EADD">
              <w:t xml:space="preserve"> Pins) or equivalent</w:t>
            </w:r>
          </w:p>
        </w:tc>
      </w:tr>
      <w:tr w:rsidR="001C2894" w:rsidRPr="00BC644A" w14:paraId="6BA1F355" w14:textId="77777777" w:rsidTr="1DC5EADD">
        <w:tc>
          <w:tcPr>
            <w:tcW w:w="525" w:type="dxa"/>
          </w:tcPr>
          <w:p w14:paraId="365C3F50" w14:textId="77777777" w:rsidR="001C2894" w:rsidRPr="00BC644A" w:rsidRDefault="001C2894" w:rsidP="00892352">
            <w:pPr>
              <w:rPr>
                <w:rFonts w:cstheme="minorHAnsi"/>
                <w:b/>
                <w:bCs/>
                <w:color w:val="000000" w:themeColor="text1"/>
              </w:rPr>
            </w:pPr>
            <w:r w:rsidRPr="00BC644A">
              <w:rPr>
                <w:rFonts w:cstheme="minorHAnsi"/>
                <w:b/>
                <w:bCs/>
                <w:color w:val="000000" w:themeColor="text1"/>
              </w:rPr>
              <w:t>3.</w:t>
            </w:r>
          </w:p>
        </w:tc>
        <w:tc>
          <w:tcPr>
            <w:tcW w:w="8131" w:type="dxa"/>
          </w:tcPr>
          <w:p w14:paraId="0BF5B15D" w14:textId="599639F0" w:rsidR="001C2894" w:rsidRPr="00BC644A" w:rsidRDefault="0067444B" w:rsidP="00892352">
            <w:pPr>
              <w:rPr>
                <w:rFonts w:cstheme="minorHAnsi"/>
                <w:b/>
                <w:bCs/>
                <w:color w:val="000000" w:themeColor="text1"/>
              </w:rPr>
            </w:pPr>
            <w:r w:rsidRPr="00BC644A">
              <w:rPr>
                <w:rFonts w:cstheme="minorHAnsi"/>
              </w:rPr>
              <w:t>Demonstrable experience of Tax fraud and / or disciplinary investigations</w:t>
            </w:r>
          </w:p>
        </w:tc>
      </w:tr>
      <w:tr w:rsidR="0067444B" w:rsidRPr="00BC644A" w14:paraId="267FFD18" w14:textId="77777777" w:rsidTr="1DC5EADD">
        <w:tc>
          <w:tcPr>
            <w:tcW w:w="525" w:type="dxa"/>
          </w:tcPr>
          <w:p w14:paraId="3F00E6B6" w14:textId="77777777" w:rsidR="0067444B" w:rsidRPr="00BC644A" w:rsidRDefault="0067444B" w:rsidP="0067444B">
            <w:pPr>
              <w:rPr>
                <w:rFonts w:cstheme="minorHAnsi"/>
                <w:b/>
                <w:bCs/>
                <w:color w:val="000000" w:themeColor="text1"/>
              </w:rPr>
            </w:pPr>
            <w:r w:rsidRPr="00BC644A">
              <w:rPr>
                <w:rFonts w:cstheme="minorHAnsi"/>
                <w:b/>
                <w:bCs/>
                <w:color w:val="000000" w:themeColor="text1"/>
              </w:rPr>
              <w:t>4.</w:t>
            </w:r>
          </w:p>
        </w:tc>
        <w:tc>
          <w:tcPr>
            <w:tcW w:w="8131" w:type="dxa"/>
            <w:vAlign w:val="center"/>
          </w:tcPr>
          <w:p w14:paraId="209F9E13" w14:textId="6D15C6D0" w:rsidR="0067444B" w:rsidRPr="00BC644A" w:rsidRDefault="0067444B" w:rsidP="0067444B">
            <w:pPr>
              <w:rPr>
                <w:rFonts w:cstheme="minorHAnsi"/>
                <w:b/>
                <w:bCs/>
                <w:color w:val="000000" w:themeColor="text1"/>
              </w:rPr>
            </w:pPr>
            <w:r w:rsidRPr="00BC644A">
              <w:rPr>
                <w:rFonts w:cstheme="minorHAnsi"/>
              </w:rPr>
              <w:t>Proven ability to build effective relationships and achieve cooperation from others (especially those not under direct control) to deliver organisational objectives</w:t>
            </w:r>
            <w:r w:rsidR="00BC644A">
              <w:rPr>
                <w:rFonts w:cstheme="minorHAnsi"/>
              </w:rPr>
              <w:t>.</w:t>
            </w:r>
            <w:r w:rsidRPr="00BC644A">
              <w:rPr>
                <w:rFonts w:cstheme="minorHAnsi"/>
              </w:rPr>
              <w:t xml:space="preserve"> </w:t>
            </w:r>
          </w:p>
        </w:tc>
      </w:tr>
      <w:tr w:rsidR="0067444B" w:rsidRPr="00BC644A" w14:paraId="359C8C7E" w14:textId="77777777" w:rsidTr="1DC5EADD">
        <w:tc>
          <w:tcPr>
            <w:tcW w:w="525" w:type="dxa"/>
          </w:tcPr>
          <w:p w14:paraId="171D526B" w14:textId="728D2015" w:rsidR="0067444B" w:rsidRPr="00BC644A" w:rsidRDefault="00BC644A" w:rsidP="0067444B">
            <w:pPr>
              <w:rPr>
                <w:rFonts w:cstheme="minorHAnsi"/>
                <w:b/>
                <w:bCs/>
                <w:color w:val="000000" w:themeColor="text1"/>
              </w:rPr>
            </w:pPr>
            <w:r w:rsidRPr="00BC644A">
              <w:rPr>
                <w:rFonts w:cstheme="minorHAnsi"/>
                <w:b/>
                <w:bCs/>
                <w:color w:val="000000" w:themeColor="text1"/>
              </w:rPr>
              <w:t>5.</w:t>
            </w:r>
          </w:p>
        </w:tc>
        <w:tc>
          <w:tcPr>
            <w:tcW w:w="8131" w:type="dxa"/>
          </w:tcPr>
          <w:p w14:paraId="5AEF9E66" w14:textId="21D370E9" w:rsidR="0067444B" w:rsidRPr="00BC644A" w:rsidRDefault="00BC644A" w:rsidP="0067444B">
            <w:pPr>
              <w:rPr>
                <w:rFonts w:cstheme="minorHAnsi"/>
                <w:color w:val="000000" w:themeColor="text1"/>
              </w:rPr>
            </w:pPr>
            <w:r>
              <w:rPr>
                <w:rFonts w:cstheme="minorHAnsi"/>
                <w:color w:val="000000" w:themeColor="text1"/>
              </w:rPr>
              <w:t>Demonstrable e</w:t>
            </w:r>
            <w:r w:rsidR="0067444B" w:rsidRPr="00BC644A">
              <w:rPr>
                <w:rFonts w:cstheme="minorHAnsi"/>
                <w:color w:val="000000" w:themeColor="text1"/>
              </w:rPr>
              <w:t xml:space="preserve">xtensive experience </w:t>
            </w:r>
            <w:r w:rsidRPr="00BC644A">
              <w:rPr>
                <w:rFonts w:cstheme="minorHAnsi"/>
                <w:color w:val="000000" w:themeColor="text1"/>
              </w:rPr>
              <w:t>of</w:t>
            </w:r>
            <w:r w:rsidR="0067444B" w:rsidRPr="00BC644A">
              <w:rPr>
                <w:rFonts w:cstheme="minorHAnsi"/>
                <w:color w:val="000000" w:themeColor="text1"/>
              </w:rPr>
              <w:t xml:space="preserve"> </w:t>
            </w:r>
            <w:r w:rsidRPr="00BC644A">
              <w:rPr>
                <w:rFonts w:cstheme="minorHAnsi"/>
                <w:color w:val="000000" w:themeColor="text1"/>
              </w:rPr>
              <w:t>analysing</w:t>
            </w:r>
            <w:r w:rsidR="0067444B" w:rsidRPr="00BC644A">
              <w:rPr>
                <w:rFonts w:cstheme="minorHAnsi"/>
                <w:color w:val="000000" w:themeColor="text1"/>
              </w:rPr>
              <w:t xml:space="preserve"> complex</w:t>
            </w:r>
            <w:r w:rsidR="006873BE">
              <w:rPr>
                <w:rFonts w:cstheme="minorHAnsi"/>
                <w:color w:val="000000" w:themeColor="text1"/>
              </w:rPr>
              <w:t xml:space="preserve"> </w:t>
            </w:r>
            <w:r w:rsidR="0067444B" w:rsidRPr="00BC644A">
              <w:rPr>
                <w:rFonts w:cstheme="minorHAnsi"/>
                <w:color w:val="000000" w:themeColor="text1"/>
              </w:rPr>
              <w:t xml:space="preserve">numerical data </w:t>
            </w:r>
            <w:r>
              <w:rPr>
                <w:rFonts w:cstheme="minorHAnsi"/>
                <w:color w:val="000000" w:themeColor="text1"/>
              </w:rPr>
              <w:t xml:space="preserve">with the proven </w:t>
            </w:r>
            <w:r w:rsidR="00BC63A7">
              <w:rPr>
                <w:rFonts w:cstheme="minorHAnsi"/>
                <w:color w:val="000000" w:themeColor="text1"/>
              </w:rPr>
              <w:t xml:space="preserve">ability </w:t>
            </w:r>
            <w:r w:rsidR="00BC63A7" w:rsidRPr="00BC644A">
              <w:rPr>
                <w:rFonts w:cstheme="minorHAnsi"/>
                <w:color w:val="000000" w:themeColor="text1"/>
              </w:rPr>
              <w:t>to</w:t>
            </w:r>
            <w:r w:rsidR="0067444B" w:rsidRPr="00BC644A">
              <w:rPr>
                <w:rFonts w:cstheme="minorHAnsi"/>
                <w:color w:val="000000" w:themeColor="text1"/>
              </w:rPr>
              <w:t xml:space="preserve"> draw evidenced based conclusions</w:t>
            </w:r>
          </w:p>
        </w:tc>
      </w:tr>
      <w:tr w:rsidR="0067444B" w:rsidRPr="00BC644A" w14:paraId="43CA08D8" w14:textId="77777777" w:rsidTr="1DC5EADD">
        <w:trPr>
          <w:trHeight w:val="70"/>
        </w:trPr>
        <w:tc>
          <w:tcPr>
            <w:tcW w:w="525" w:type="dxa"/>
          </w:tcPr>
          <w:p w14:paraId="6AC81F1F" w14:textId="662BDFDD" w:rsidR="0067444B" w:rsidRPr="00BC644A" w:rsidDel="0067444B" w:rsidRDefault="0067444B" w:rsidP="0067444B">
            <w:pPr>
              <w:rPr>
                <w:rFonts w:cstheme="minorHAnsi"/>
                <w:b/>
                <w:bCs/>
                <w:color w:val="000000" w:themeColor="text1"/>
              </w:rPr>
            </w:pPr>
            <w:r w:rsidRPr="00BC644A">
              <w:rPr>
                <w:rFonts w:cstheme="minorHAnsi"/>
                <w:b/>
                <w:bCs/>
                <w:color w:val="000000" w:themeColor="text1"/>
              </w:rPr>
              <w:t>6</w:t>
            </w:r>
            <w:r w:rsidR="00BC644A" w:rsidRPr="00BC644A">
              <w:rPr>
                <w:rFonts w:cstheme="minorHAnsi"/>
                <w:b/>
                <w:bCs/>
                <w:color w:val="000000" w:themeColor="text1"/>
              </w:rPr>
              <w:t>.</w:t>
            </w:r>
          </w:p>
        </w:tc>
        <w:tc>
          <w:tcPr>
            <w:tcW w:w="8131" w:type="dxa"/>
          </w:tcPr>
          <w:p w14:paraId="1A5ED97B" w14:textId="745E683E" w:rsidR="0067444B" w:rsidRPr="00BC644A" w:rsidRDefault="00BC644A" w:rsidP="0067444B">
            <w:pPr>
              <w:rPr>
                <w:rFonts w:cstheme="minorHAnsi"/>
                <w:color w:val="000000" w:themeColor="text1"/>
              </w:rPr>
            </w:pPr>
            <w:r w:rsidRPr="00BC644A">
              <w:rPr>
                <w:rFonts w:cstheme="minorHAnsi"/>
                <w:color w:val="000000" w:themeColor="text1"/>
              </w:rPr>
              <w:t>Demonstrable high standard of interpersonal skills b</w:t>
            </w:r>
            <w:r w:rsidR="006873BE">
              <w:rPr>
                <w:rFonts w:cstheme="minorHAnsi"/>
                <w:color w:val="000000" w:themeColor="text1"/>
              </w:rPr>
              <w:t xml:space="preserve">oth </w:t>
            </w:r>
            <w:r w:rsidRPr="00BC644A">
              <w:rPr>
                <w:rFonts w:cstheme="minorHAnsi"/>
                <w:color w:val="000000" w:themeColor="text1"/>
              </w:rPr>
              <w:t>verbally and in writing</w:t>
            </w:r>
          </w:p>
        </w:tc>
      </w:tr>
    </w:tbl>
    <w:p w14:paraId="5F99B46B" w14:textId="25C68A2D" w:rsidR="00D72A65" w:rsidRPr="00BC644A" w:rsidRDefault="00D72A65" w:rsidP="00D72A65">
      <w:pPr>
        <w:rPr>
          <w:rFonts w:eastAsiaTheme="minorEastAsia" w:cstheme="minorHAnsi"/>
          <w:b/>
          <w:bCs/>
          <w:color w:val="000000" w:themeColor="text1"/>
          <w:lang w:eastAsia="en-GB"/>
        </w:rPr>
      </w:pP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49"/>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287D">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C2287D">
      <w:pPr>
        <w:pStyle w:val="Heading3"/>
        <w:jc w:val="both"/>
      </w:pPr>
      <w:r>
        <w:t>Role Characteristics</w:t>
      </w:r>
    </w:p>
    <w:p w14:paraId="372B11FE" w14:textId="77777777" w:rsidR="00DF7F38" w:rsidRDefault="00DF7F38" w:rsidP="00C2287D">
      <w:pPr>
        <w:pStyle w:val="BodyText"/>
        <w:jc w:val="both"/>
        <w:rPr>
          <w:rFonts w:asciiTheme="minorHAnsi" w:hAnsiTheme="minorHAnsi" w:cstheme="minorHAnsi"/>
        </w:rPr>
      </w:pPr>
    </w:p>
    <w:p w14:paraId="07A8E1ED" w14:textId="55B60970" w:rsidR="00E47798" w:rsidRDefault="00E47798" w:rsidP="00C2287D">
      <w:pPr>
        <w:pStyle w:val="BodyText"/>
        <w:spacing w:line="244" w:lineRule="auto"/>
        <w:jc w:val="both"/>
      </w:pPr>
      <w:r>
        <w:t>At this level roles require an in depth, theoretical understanding</w:t>
      </w:r>
      <w:r w:rsidR="00BC644A">
        <w:t xml:space="preserve"> </w:t>
      </w:r>
      <w:r>
        <w:t xml:space="preserve">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C2287D">
      <w:pPr>
        <w:pStyle w:val="BodyText"/>
        <w:spacing w:line="242" w:lineRule="auto"/>
        <w:jc w:val="both"/>
      </w:pPr>
      <w:r>
        <w:tab/>
      </w:r>
    </w:p>
    <w:p w14:paraId="4C62F75E" w14:textId="10749C22" w:rsidR="005127DC" w:rsidRDefault="00EE040A" w:rsidP="00C2287D">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C2287D">
      <w:pPr>
        <w:pStyle w:val="BodyText"/>
        <w:spacing w:line="244" w:lineRule="auto"/>
        <w:jc w:val="both"/>
        <w:rPr>
          <w:rFonts w:asciiTheme="minorHAnsi" w:hAnsiTheme="minorHAnsi" w:cstheme="minorHAnsi"/>
        </w:rPr>
      </w:pPr>
    </w:p>
    <w:p w14:paraId="59550503" w14:textId="61B7CB85" w:rsidR="00E47798" w:rsidRDefault="00E47798" w:rsidP="00C2287D">
      <w:pPr>
        <w:pStyle w:val="BodyText"/>
        <w:spacing w:line="242" w:lineRule="auto"/>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2DAE366F" w14:textId="77777777" w:rsidR="00E47798" w:rsidRDefault="00E47798" w:rsidP="00C2287D">
      <w:pPr>
        <w:pStyle w:val="BodyText"/>
        <w:jc w:val="both"/>
        <w:rPr>
          <w:sz w:val="21"/>
        </w:rPr>
      </w:pPr>
    </w:p>
    <w:p w14:paraId="0F6B064F" w14:textId="421346EB" w:rsidR="00E47798" w:rsidRDefault="00E47798" w:rsidP="00C2287D">
      <w:pPr>
        <w:pStyle w:val="BodyText"/>
        <w:spacing w:line="242" w:lineRule="auto"/>
        <w:jc w:val="both"/>
      </w:pPr>
      <w:r>
        <w:t xml:space="preserve">This level of knowledge is often indicated by the need for a degree level education in the relevant field, but for some roles this is substituted by a significant level of </w:t>
      </w:r>
      <w:r w:rsidR="00DD0D83">
        <w:t>on-the-job</w:t>
      </w:r>
      <w:r>
        <w:t xml:space="preserve"> training and focussed experience such that the level of expertise confers a similar level of authority.</w:t>
      </w:r>
    </w:p>
    <w:p w14:paraId="17DDD134" w14:textId="77777777" w:rsidR="00E47798" w:rsidRDefault="00E47798" w:rsidP="00C2287D">
      <w:pPr>
        <w:pStyle w:val="BodyText"/>
        <w:spacing w:before="10"/>
        <w:jc w:val="both"/>
        <w:rPr>
          <w:sz w:val="20"/>
        </w:rPr>
      </w:pPr>
    </w:p>
    <w:p w14:paraId="33AF7CD3" w14:textId="77777777" w:rsidR="00E47798" w:rsidRDefault="00E47798" w:rsidP="00C2287D">
      <w:pPr>
        <w:pStyle w:val="BodyText"/>
        <w:spacing w:line="247" w:lineRule="auto"/>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C2287D">
      <w:pPr>
        <w:pStyle w:val="Heading3"/>
        <w:jc w:val="both"/>
        <w:rPr>
          <w:bCs/>
          <w:color w:val="000000" w:themeColor="text1"/>
        </w:rPr>
      </w:pPr>
    </w:p>
    <w:p w14:paraId="7BA54DA4" w14:textId="1326140D" w:rsidR="00AB0A09" w:rsidRDefault="00AB0A09" w:rsidP="00C2287D">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C2287D">
      <w:pPr>
        <w:pStyle w:val="BodyText"/>
        <w:spacing w:line="235" w:lineRule="auto"/>
        <w:jc w:val="both"/>
        <w:rPr>
          <w:rFonts w:asciiTheme="minorHAnsi" w:hAnsiTheme="minorHAnsi" w:cstheme="minorHAnsi"/>
        </w:rPr>
      </w:pPr>
    </w:p>
    <w:p w14:paraId="7003D902" w14:textId="77777777" w:rsidR="00E47798" w:rsidRDefault="00E47798" w:rsidP="00C2287D">
      <w:pPr>
        <w:pStyle w:val="BodyText"/>
        <w:spacing w:line="235" w:lineRule="auto"/>
        <w:jc w:val="both"/>
      </w:pPr>
      <w: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5EA92320" w14:textId="77777777" w:rsidR="00E47798" w:rsidRDefault="00E47798" w:rsidP="00C2287D">
      <w:pPr>
        <w:pStyle w:val="BodyText"/>
        <w:spacing w:line="235" w:lineRule="auto"/>
        <w:jc w:val="both"/>
      </w:pPr>
    </w:p>
    <w:p w14:paraId="19B57724" w14:textId="71F4126E" w:rsidR="00E47798" w:rsidRDefault="00E47798" w:rsidP="00C2287D">
      <w:pPr>
        <w:pStyle w:val="BodyText"/>
        <w:spacing w:line="235" w:lineRule="auto"/>
        <w:jc w:val="both"/>
      </w:pPr>
      <w:r>
        <w:t xml:space="preserve">Job holders will have plenty of </w:t>
      </w:r>
      <w:r w:rsidR="00DD0D83">
        <w:t>day-to-day</w:t>
      </w:r>
      <w:r>
        <w:t xml:space="preserve"> issues to contend with, they will also need to plan some months ahead to achieve medium-term objectives in such areas as project support or service development.</w:t>
      </w:r>
    </w:p>
    <w:p w14:paraId="61A864DC" w14:textId="77777777" w:rsidR="00E47798" w:rsidRDefault="00E47798" w:rsidP="00C2287D">
      <w:pPr>
        <w:pStyle w:val="BodyText"/>
        <w:spacing w:before="4"/>
        <w:jc w:val="both"/>
        <w:rPr>
          <w:sz w:val="20"/>
        </w:rPr>
      </w:pPr>
    </w:p>
    <w:p w14:paraId="40A60619" w14:textId="77777777" w:rsidR="00E47798" w:rsidRDefault="00E47798" w:rsidP="00C2287D">
      <w:pPr>
        <w:pStyle w:val="BodyText"/>
        <w:spacing w:line="242" w:lineRule="auto"/>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3CFB195" w14:textId="77777777" w:rsidR="00E47798" w:rsidRDefault="00E47798" w:rsidP="00C2287D">
      <w:pPr>
        <w:pStyle w:val="BodyText"/>
        <w:spacing w:line="242" w:lineRule="auto"/>
        <w:jc w:val="both"/>
      </w:pPr>
    </w:p>
    <w:p w14:paraId="0DD648E7" w14:textId="3C44BB3C" w:rsidR="00AB0A09" w:rsidRDefault="00AB0A09" w:rsidP="00C2287D">
      <w:pPr>
        <w:pStyle w:val="BodyText"/>
        <w:spacing w:line="242" w:lineRule="auto"/>
        <w:jc w:val="both"/>
        <w:rPr>
          <w:b/>
          <w:bCs/>
          <w:color w:val="000000" w:themeColor="text1"/>
        </w:rPr>
      </w:pPr>
      <w:r w:rsidRPr="00F77A6D">
        <w:rPr>
          <w:b/>
          <w:bCs/>
          <w:color w:val="000000" w:themeColor="text1"/>
        </w:rPr>
        <w:t>Decision Making and Innovation</w:t>
      </w:r>
    </w:p>
    <w:p w14:paraId="4D1735F6" w14:textId="77777777" w:rsidR="009C58DB" w:rsidRDefault="009C58DB" w:rsidP="00C2287D">
      <w:pPr>
        <w:pStyle w:val="BodyText"/>
        <w:spacing w:line="247" w:lineRule="auto"/>
        <w:jc w:val="both"/>
      </w:pPr>
      <w:bookmarkStart w:id="2" w:name="_Hlk61445704"/>
    </w:p>
    <w:bookmarkEnd w:id="2"/>
    <w:p w14:paraId="5CA6A664" w14:textId="41FEC6E7" w:rsidR="001E7B14" w:rsidRPr="00F96C90" w:rsidRDefault="001E7B14" w:rsidP="00C2287D">
      <w:pPr>
        <w:pStyle w:val="BodyText"/>
        <w:spacing w:before="1"/>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2287D">
      <w:pPr>
        <w:pStyle w:val="BodyText"/>
        <w:spacing w:before="1" w:line="242" w:lineRule="auto"/>
        <w:jc w:val="both"/>
      </w:pPr>
    </w:p>
    <w:p w14:paraId="27CDAA7E" w14:textId="1FADF53A" w:rsidR="00AB0A09" w:rsidRPr="00585845" w:rsidRDefault="009C6B9A" w:rsidP="00C2287D">
      <w:pPr>
        <w:pStyle w:val="Heading3"/>
        <w:jc w:val="both"/>
      </w:pPr>
      <w:r>
        <w:t>A</w:t>
      </w:r>
      <w:r w:rsidR="00AB0A09" w:rsidRPr="00585845">
        <w:t>reas of responsibility</w:t>
      </w:r>
    </w:p>
    <w:p w14:paraId="3F2E78DA" w14:textId="77777777" w:rsidR="00DF7F38" w:rsidRDefault="00DF7F38" w:rsidP="00C2287D">
      <w:pPr>
        <w:pStyle w:val="BodyText"/>
        <w:spacing w:line="235" w:lineRule="auto"/>
        <w:jc w:val="both"/>
        <w:rPr>
          <w:rFonts w:asciiTheme="minorHAnsi" w:hAnsiTheme="minorHAnsi" w:cstheme="minorHAnsi"/>
        </w:rPr>
      </w:pPr>
    </w:p>
    <w:p w14:paraId="3A87C1F0" w14:textId="77777777" w:rsidR="001E7B14" w:rsidRPr="00F96C90" w:rsidRDefault="001E7B14" w:rsidP="00C2287D">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2287D">
      <w:pPr>
        <w:pStyle w:val="BodyText"/>
        <w:spacing w:before="9"/>
        <w:jc w:val="both"/>
        <w:rPr>
          <w:rFonts w:asciiTheme="minorHAnsi" w:hAnsiTheme="minorHAnsi" w:cstheme="minorHAnsi"/>
        </w:rPr>
      </w:pPr>
    </w:p>
    <w:p w14:paraId="65EF2AB7" w14:textId="6934F802" w:rsidR="001E7B14" w:rsidRPr="00F96C90" w:rsidRDefault="001E7B14" w:rsidP="00C2287D">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DD0D83"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2287D">
      <w:pPr>
        <w:pStyle w:val="BodyText"/>
        <w:spacing w:before="2"/>
        <w:jc w:val="both"/>
        <w:rPr>
          <w:rFonts w:asciiTheme="minorHAnsi" w:hAnsiTheme="minorHAnsi" w:cstheme="minorHAnsi"/>
        </w:rPr>
      </w:pPr>
    </w:p>
    <w:p w14:paraId="67D0D674" w14:textId="77777777" w:rsidR="001E7B14" w:rsidRPr="00F96C90" w:rsidRDefault="001E7B14" w:rsidP="00C2287D">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2287D">
      <w:pPr>
        <w:pStyle w:val="BodyText"/>
        <w:spacing w:before="7"/>
        <w:jc w:val="both"/>
        <w:rPr>
          <w:rFonts w:asciiTheme="minorHAnsi" w:hAnsiTheme="minorHAnsi" w:cstheme="minorHAnsi"/>
        </w:rPr>
      </w:pPr>
    </w:p>
    <w:p w14:paraId="5060FBC4" w14:textId="77777777" w:rsidR="001E7B14" w:rsidRPr="00F96C90" w:rsidRDefault="001E7B14" w:rsidP="00C2287D">
      <w:pPr>
        <w:pStyle w:val="BodyText"/>
        <w:spacing w:before="1" w:line="244" w:lineRule="auto"/>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C2287D">
      <w:pPr>
        <w:pStyle w:val="Heading3"/>
        <w:jc w:val="both"/>
      </w:pPr>
    </w:p>
    <w:p w14:paraId="14AFDE55" w14:textId="3AE4C320" w:rsidR="00AB0A09" w:rsidRDefault="00AB0A09" w:rsidP="00C2287D">
      <w:pPr>
        <w:pStyle w:val="Heading3"/>
        <w:jc w:val="both"/>
      </w:pPr>
      <w:r>
        <w:t>I</w:t>
      </w:r>
      <w:r w:rsidRPr="00585845">
        <w:t xml:space="preserve">mpacts and </w:t>
      </w:r>
      <w:r>
        <w:t>D</w:t>
      </w:r>
      <w:r w:rsidRPr="00585845">
        <w:t>emands</w:t>
      </w:r>
    </w:p>
    <w:p w14:paraId="751E7D49" w14:textId="77777777" w:rsidR="00E47798" w:rsidRPr="00E47798" w:rsidRDefault="00E47798" w:rsidP="00C2287D">
      <w:pPr>
        <w:jc w:val="both"/>
      </w:pPr>
    </w:p>
    <w:p w14:paraId="6B3CE3D6" w14:textId="77777777" w:rsidR="00E47798" w:rsidRDefault="00E47798" w:rsidP="00C2287D">
      <w:pPr>
        <w:pStyle w:val="BodyText"/>
        <w:spacing w:line="244" w:lineRule="auto"/>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C2287D">
      <w:pPr>
        <w:pStyle w:val="BodyText"/>
        <w:spacing w:before="9"/>
        <w:jc w:val="both"/>
        <w:rPr>
          <w:sz w:val="20"/>
        </w:rPr>
      </w:pPr>
    </w:p>
    <w:p w14:paraId="2B484298" w14:textId="77777777" w:rsidR="00E47798" w:rsidRDefault="00E47798" w:rsidP="00C2287D">
      <w:pPr>
        <w:pStyle w:val="BodyText"/>
        <w:spacing w:line="244" w:lineRule="auto"/>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C2287D">
      <w:pPr>
        <w:pStyle w:val="BodyText"/>
        <w:spacing w:before="2"/>
        <w:jc w:val="both"/>
        <w:rPr>
          <w:b/>
          <w:sz w:val="17"/>
        </w:rPr>
      </w:pPr>
    </w:p>
    <w:p w14:paraId="532B8252" w14:textId="77777777" w:rsidR="00E47798" w:rsidRDefault="00E47798" w:rsidP="00C2287D">
      <w:pPr>
        <w:pStyle w:val="BodyText"/>
        <w:spacing w:before="51" w:line="244" w:lineRule="auto"/>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C2287D">
      <w:pPr>
        <w:pStyle w:val="BodyText"/>
        <w:spacing w:before="4"/>
        <w:jc w:val="both"/>
        <w:rPr>
          <w:sz w:val="21"/>
        </w:rPr>
      </w:pPr>
    </w:p>
    <w:p w14:paraId="178AA773" w14:textId="77777777" w:rsidR="00E47798" w:rsidRDefault="00E47798" w:rsidP="00C2287D">
      <w:pPr>
        <w:pStyle w:val="BodyText"/>
        <w:spacing w:line="235" w:lineRule="auto"/>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rsidP="00C2287D">
      <w:pPr>
        <w:pStyle w:val="BodyText"/>
        <w:jc w:val="both"/>
        <w:rPr>
          <w:sz w:val="19"/>
        </w:rPr>
      </w:pPr>
    </w:p>
    <w:p w14:paraId="59B5147B" w14:textId="77777777" w:rsidR="00E47798" w:rsidRDefault="00E47798" w:rsidP="00C2287D">
      <w:pPr>
        <w:pStyle w:val="BodyText"/>
        <w:spacing w:line="244" w:lineRule="auto"/>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12DF9A16" w14:textId="77777777" w:rsidR="00E47798" w:rsidRDefault="00E47798" w:rsidP="00C2287D">
      <w:pPr>
        <w:pStyle w:val="BodyText"/>
        <w:jc w:val="both"/>
      </w:pPr>
    </w:p>
    <w:p w14:paraId="27270AF2" w14:textId="77777777" w:rsidR="00E47798" w:rsidRDefault="00E47798" w:rsidP="00C2287D">
      <w:pPr>
        <w:pStyle w:val="BodyText"/>
        <w:jc w:val="both"/>
      </w:pPr>
    </w:p>
    <w:p w14:paraId="1FDBAE4C" w14:textId="77777777" w:rsidR="00E47798" w:rsidRDefault="00E47798" w:rsidP="00C2287D">
      <w:pPr>
        <w:pStyle w:val="BodyText"/>
        <w:jc w:val="both"/>
      </w:pPr>
    </w:p>
    <w:p w14:paraId="49BA5EEB" w14:textId="77777777" w:rsidR="00E47798" w:rsidRDefault="00E47798" w:rsidP="00C2287D">
      <w:pPr>
        <w:pStyle w:val="BodyText"/>
        <w:jc w:val="both"/>
      </w:pPr>
    </w:p>
    <w:p w14:paraId="0DD837E3" w14:textId="77777777" w:rsidR="00E47798" w:rsidRDefault="00E47798" w:rsidP="00C2287D">
      <w:pPr>
        <w:pStyle w:val="BodyText"/>
        <w:jc w:val="both"/>
      </w:pPr>
    </w:p>
    <w:p w14:paraId="185656E2" w14:textId="77777777" w:rsidR="001E7B14" w:rsidRDefault="001E7B14" w:rsidP="00C2287D">
      <w:pPr>
        <w:pStyle w:val="BodyText"/>
        <w:spacing w:line="235" w:lineRule="auto"/>
        <w:jc w:val="both"/>
        <w:rPr>
          <w:rFonts w:asciiTheme="minorHAnsi" w:hAnsiTheme="minorHAnsi" w:cstheme="minorHAnsi"/>
        </w:rPr>
      </w:pPr>
    </w:p>
    <w:p w14:paraId="687D994F" w14:textId="77777777" w:rsidR="00AB0450" w:rsidRDefault="00AB0450" w:rsidP="00C2287D">
      <w:pPr>
        <w:pStyle w:val="BodyText"/>
        <w:jc w:val="both"/>
      </w:pPr>
    </w:p>
    <w:p w14:paraId="3EA056B9" w14:textId="32EB9773" w:rsidR="00DF7F38" w:rsidRDefault="00DF7F38" w:rsidP="00C2287D">
      <w:pPr>
        <w:pStyle w:val="BodyText"/>
        <w:spacing w:before="1" w:line="237" w:lineRule="auto"/>
        <w:jc w:val="both"/>
        <w:rPr>
          <w:rFonts w:asciiTheme="minorHAnsi" w:hAnsiTheme="minorHAnsi" w:cstheme="minorHAnsi"/>
        </w:rPr>
      </w:pPr>
    </w:p>
    <w:p w14:paraId="131DD5CC" w14:textId="77777777" w:rsidR="00DF7F38" w:rsidRPr="00F96C90" w:rsidRDefault="00DF7F38" w:rsidP="00C2287D">
      <w:pPr>
        <w:pStyle w:val="BodyText"/>
        <w:spacing w:before="1" w:line="237" w:lineRule="auto"/>
        <w:jc w:val="both"/>
        <w:rPr>
          <w:rFonts w:asciiTheme="minorHAnsi" w:hAnsiTheme="minorHAnsi" w:cstheme="minorHAnsi"/>
        </w:rPr>
      </w:pPr>
    </w:p>
    <w:p w14:paraId="3ED6700A" w14:textId="77777777" w:rsidR="0012076A" w:rsidRDefault="0012076A" w:rsidP="00C2287D">
      <w:pPr>
        <w:pStyle w:val="BodyText"/>
        <w:spacing w:before="4"/>
        <w:jc w:val="both"/>
        <w:rPr>
          <w:sz w:val="19"/>
        </w:rPr>
      </w:pPr>
    </w:p>
    <w:p w14:paraId="262F4B25" w14:textId="77777777" w:rsidR="00F77A6D" w:rsidRPr="00F77A6D" w:rsidRDefault="00F77A6D" w:rsidP="00C2287D">
      <w:pPr>
        <w:spacing w:after="0" w:line="240" w:lineRule="auto"/>
        <w:contextualSpacing/>
        <w:jc w:val="both"/>
        <w:rPr>
          <w:color w:val="000000" w:themeColor="text1"/>
          <w:sz w:val="24"/>
          <w:szCs w:val="24"/>
        </w:rPr>
      </w:pPr>
    </w:p>
    <w:sectPr w:rsidR="00F77A6D" w:rsidRPr="00F77A6D" w:rsidSect="00C2287D">
      <w:footerReference w:type="default" r:id="rId15"/>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C0293" w14:textId="77777777" w:rsidR="00B93D8F" w:rsidRDefault="00C5152E">
      <w:pPr>
        <w:spacing w:after="0" w:line="240" w:lineRule="auto"/>
      </w:pPr>
      <w:r>
        <w:separator/>
      </w:r>
    </w:p>
  </w:endnote>
  <w:endnote w:type="continuationSeparator" w:id="0">
    <w:p w14:paraId="3D86DCC6" w14:textId="77777777" w:rsidR="00B93D8F" w:rsidRDefault="00C5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E4779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DD0D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78273" w14:textId="77777777" w:rsidR="00B93D8F" w:rsidRDefault="00C5152E">
      <w:pPr>
        <w:spacing w:after="0" w:line="240" w:lineRule="auto"/>
      </w:pPr>
      <w:r>
        <w:separator/>
      </w:r>
    </w:p>
  </w:footnote>
  <w:footnote w:type="continuationSeparator" w:id="0">
    <w:p w14:paraId="53E17A92" w14:textId="77777777" w:rsidR="00B93D8F" w:rsidRDefault="00C5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trackRevisions/>
  <w:documentProtection w:edit="trackedChanges" w:enforcement="1" w:cryptProviderType="rsaAES" w:cryptAlgorithmClass="hash" w:cryptAlgorithmType="typeAny" w:cryptAlgorithmSid="14" w:cryptSpinCount="100000" w:hash="AP7rRGLS1GHoTvCsfP6EKnWlUuNtJ9rNhypa99u3n5Hx46novkuJfFg6H2EFnk69KKsgQugc5cQagwbADRSOvQ==" w:salt="5jepXyzoRWivVEYO2L0O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332E00"/>
    <w:rsid w:val="003533F6"/>
    <w:rsid w:val="003734E7"/>
    <w:rsid w:val="00407326"/>
    <w:rsid w:val="00446BC3"/>
    <w:rsid w:val="00467EB5"/>
    <w:rsid w:val="005127DC"/>
    <w:rsid w:val="00535A60"/>
    <w:rsid w:val="005B584C"/>
    <w:rsid w:val="0067444B"/>
    <w:rsid w:val="00686BAB"/>
    <w:rsid w:val="006873BE"/>
    <w:rsid w:val="006A0A45"/>
    <w:rsid w:val="006D5B81"/>
    <w:rsid w:val="00720F2B"/>
    <w:rsid w:val="009C58DB"/>
    <w:rsid w:val="009C6B9A"/>
    <w:rsid w:val="00A25E9D"/>
    <w:rsid w:val="00A62900"/>
    <w:rsid w:val="00A94374"/>
    <w:rsid w:val="00AB0450"/>
    <w:rsid w:val="00AB0A09"/>
    <w:rsid w:val="00AD2933"/>
    <w:rsid w:val="00B93D8F"/>
    <w:rsid w:val="00B9607C"/>
    <w:rsid w:val="00BC63A7"/>
    <w:rsid w:val="00BC644A"/>
    <w:rsid w:val="00C2287D"/>
    <w:rsid w:val="00C23807"/>
    <w:rsid w:val="00C5152E"/>
    <w:rsid w:val="00CB4B19"/>
    <w:rsid w:val="00D72A65"/>
    <w:rsid w:val="00DC4A0A"/>
    <w:rsid w:val="00DD0D83"/>
    <w:rsid w:val="00DF7F38"/>
    <w:rsid w:val="00E133F8"/>
    <w:rsid w:val="00E2449F"/>
    <w:rsid w:val="00E47798"/>
    <w:rsid w:val="00EC3018"/>
    <w:rsid w:val="00EE040A"/>
    <w:rsid w:val="00F77A6D"/>
    <w:rsid w:val="1C2A1A7C"/>
    <w:rsid w:val="1DC5E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uiPriority w:val="99"/>
    <w:semiHidden/>
    <w:unhideWhenUsed/>
    <w:rsid w:val="00C2287D"/>
    <w:rPr>
      <w:sz w:val="16"/>
      <w:szCs w:val="16"/>
    </w:rPr>
  </w:style>
  <w:style w:type="paragraph" w:styleId="CommentText">
    <w:name w:val="annotation text"/>
    <w:basedOn w:val="Normal"/>
    <w:link w:val="CommentTextChar"/>
    <w:uiPriority w:val="99"/>
    <w:semiHidden/>
    <w:unhideWhenUsed/>
    <w:rsid w:val="00C2287D"/>
    <w:pPr>
      <w:spacing w:line="240" w:lineRule="auto"/>
    </w:pPr>
    <w:rPr>
      <w:sz w:val="20"/>
      <w:szCs w:val="20"/>
    </w:rPr>
  </w:style>
  <w:style w:type="character" w:customStyle="1" w:styleId="CommentTextChar">
    <w:name w:val="Comment Text Char"/>
    <w:basedOn w:val="DefaultParagraphFont"/>
    <w:link w:val="CommentText"/>
    <w:uiPriority w:val="99"/>
    <w:semiHidden/>
    <w:rsid w:val="00C2287D"/>
    <w:rPr>
      <w:sz w:val="20"/>
      <w:szCs w:val="20"/>
    </w:rPr>
  </w:style>
  <w:style w:type="paragraph" w:styleId="CommentSubject">
    <w:name w:val="annotation subject"/>
    <w:basedOn w:val="CommentText"/>
    <w:next w:val="CommentText"/>
    <w:link w:val="CommentSubjectChar"/>
    <w:uiPriority w:val="99"/>
    <w:semiHidden/>
    <w:unhideWhenUsed/>
    <w:rsid w:val="00C2287D"/>
    <w:rPr>
      <w:b/>
      <w:bCs/>
    </w:rPr>
  </w:style>
  <w:style w:type="character" w:customStyle="1" w:styleId="CommentSubjectChar">
    <w:name w:val="Comment Subject Char"/>
    <w:basedOn w:val="CommentTextChar"/>
    <w:link w:val="CommentSubject"/>
    <w:uiPriority w:val="99"/>
    <w:semiHidden/>
    <w:rsid w:val="00C22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C062B-5F46-427A-B849-7D2CCCBD3472}">
  <ds:schemaRefs>
    <ds:schemaRef ds:uri="http://purl.org/dc/elements/1.1/"/>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D086A2B-72F0-4264-B07D-35F721D4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37582B-689E-4034-9E33-F03976FF0515}">
  <ds:schemaRefs>
    <ds:schemaRef ds:uri="Microsoft.SharePoint.Taxonomy.ContentTypeSync"/>
  </ds:schemaRefs>
</ds:datastoreItem>
</file>

<file path=customXml/itemProps4.xml><?xml version="1.0" encoding="utf-8"?>
<ds:datastoreItem xmlns:ds="http://schemas.openxmlformats.org/officeDocument/2006/customXml" ds:itemID="{737A6437-63D1-4DA7-B6AA-D5812813E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1185</Words>
  <Characters>6756</Characters>
  <Application>Microsoft Office Word</Application>
  <DocSecurity>4</DocSecurity>
  <Lines>56</Lines>
  <Paragraphs>15</Paragraphs>
  <ScaleCrop>false</ScaleCrop>
  <Company>Milton Keynes Council</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2022-05-09T09:27:00Z</dcterms:created>
  <dcterms:modified xsi:type="dcterms:W3CDTF">2022-05-09T09:27:00Z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