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476F6AF" w:rsidR="0017540B" w:rsidRPr="003C2084" w:rsidRDefault="00850C86" w:rsidP="00C577BE">
      <w:pPr>
        <w:tabs>
          <w:tab w:val="left" w:pos="8036"/>
        </w:tabs>
        <w:spacing w:after="360" w:line="240" w:lineRule="auto"/>
        <w:ind w:left="567" w:right="118"/>
        <w:contextualSpacing/>
        <w:rPr>
          <w:rFonts w:ascii="Amasis MT Std Black" w:hAnsi="Amasis MT Std Black"/>
          <w:sz w:val="48"/>
          <w:szCs w:val="48"/>
        </w:rPr>
      </w:pPr>
      <w:r w:rsidRPr="00850C86">
        <w:rPr>
          <w:rFonts w:ascii="Amasis MT Pro Black" w:hAnsi="Amasis MT Pro Black"/>
          <w:b/>
          <w:bCs/>
          <w:color w:val="008796"/>
          <w:sz w:val="48"/>
          <w:szCs w:val="48"/>
        </w:rPr>
        <w:t>Children and Families Practitioner – Level 2</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B9044F8" w:rsidR="00844611" w:rsidRPr="001F4958" w:rsidRDefault="00850C86" w:rsidP="00C577BE">
            <w:pPr>
              <w:spacing w:after="0" w:line="240" w:lineRule="auto"/>
              <w:ind w:right="118"/>
              <w:contextualSpacing/>
              <w:rPr>
                <w:rFonts w:cstheme="minorHAnsi"/>
                <w:noProof/>
                <w:sz w:val="24"/>
                <w:szCs w:val="24"/>
              </w:rPr>
            </w:pPr>
            <w:r w:rsidRPr="00850C86">
              <w:rPr>
                <w:rFonts w:cstheme="minorHAnsi"/>
                <w:noProof/>
                <w:sz w:val="24"/>
                <w:szCs w:val="24"/>
              </w:rPr>
              <w:t>Children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8245962" w:rsidR="00844611" w:rsidRPr="001F4958" w:rsidRDefault="00850C86" w:rsidP="00C577BE">
            <w:pPr>
              <w:spacing w:after="0" w:line="240" w:lineRule="auto"/>
              <w:ind w:right="118"/>
              <w:contextualSpacing/>
              <w:rPr>
                <w:rFonts w:cstheme="minorHAnsi"/>
                <w:noProof/>
                <w:sz w:val="24"/>
                <w:szCs w:val="24"/>
              </w:rPr>
            </w:pPr>
            <w:r w:rsidRPr="00850C86">
              <w:rPr>
                <w:rFonts w:cstheme="minorHAnsi"/>
                <w:noProof/>
                <w:sz w:val="24"/>
                <w:szCs w:val="24"/>
              </w:rPr>
              <w:t>Children and Family Practice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585D93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AEA2FC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39992A3" w:rsidR="00B86474" w:rsidRPr="001F4958" w:rsidRDefault="00850C86" w:rsidP="004754B8">
            <w:pPr>
              <w:spacing w:after="0" w:line="240" w:lineRule="auto"/>
              <w:ind w:right="118"/>
              <w:contextualSpacing/>
              <w:rPr>
                <w:rFonts w:cstheme="minorHAnsi"/>
                <w:noProof/>
                <w:sz w:val="24"/>
                <w:szCs w:val="24"/>
              </w:rPr>
            </w:pPr>
            <w:r w:rsidRPr="00850C86">
              <w:rPr>
                <w:rFonts w:cstheme="minorHAnsi"/>
                <w:noProof/>
                <w:sz w:val="24"/>
                <w:szCs w:val="24"/>
              </w:rPr>
              <w:t>May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A13C5B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50C86">
              <w:rPr>
                <w:rFonts w:cstheme="minorHAnsi"/>
                <w:noProof/>
                <w:sz w:val="24"/>
                <w:szCs w:val="24"/>
              </w:rPr>
              <w:t>0975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850C86" w14:paraId="5C8C87F7" w14:textId="77777777" w:rsidTr="009A58DA">
        <w:tc>
          <w:tcPr>
            <w:tcW w:w="456" w:type="dxa"/>
          </w:tcPr>
          <w:p w14:paraId="317D298E" w14:textId="6E2B1C38" w:rsidR="00850C86" w:rsidRPr="000D2837" w:rsidRDefault="00850C86" w:rsidP="00850C86">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4C4A7EA" w:rsidR="00850C86" w:rsidRDefault="00850C86" w:rsidP="00850C86">
            <w:pPr>
              <w:spacing w:after="0" w:line="240" w:lineRule="auto"/>
              <w:ind w:right="118"/>
              <w:rPr>
                <w:sz w:val="24"/>
                <w:szCs w:val="24"/>
              </w:rPr>
            </w:pPr>
            <w:r w:rsidRPr="00924EC7">
              <w:t xml:space="preserve">Carry out assessments using approved tools and processes within specified timescales so that the needs of children and families who are presenting medium levels of need/risk are clearly identified and recorded.   </w:t>
            </w:r>
          </w:p>
        </w:tc>
      </w:tr>
      <w:tr w:rsidR="00850C86" w14:paraId="1175A00B" w14:textId="77777777" w:rsidTr="009A58DA">
        <w:tc>
          <w:tcPr>
            <w:tcW w:w="456" w:type="dxa"/>
          </w:tcPr>
          <w:p w14:paraId="1648EC52" w14:textId="06E671FB" w:rsidR="00850C86" w:rsidRPr="000D2837" w:rsidRDefault="00850C86" w:rsidP="00850C86">
            <w:pPr>
              <w:spacing w:after="0" w:line="240" w:lineRule="auto"/>
              <w:ind w:right="118"/>
              <w:rPr>
                <w:b/>
                <w:bCs/>
                <w:sz w:val="24"/>
                <w:szCs w:val="24"/>
              </w:rPr>
            </w:pPr>
            <w:r w:rsidRPr="000D2837">
              <w:rPr>
                <w:b/>
                <w:bCs/>
                <w:sz w:val="24"/>
                <w:szCs w:val="24"/>
              </w:rPr>
              <w:t>2</w:t>
            </w:r>
          </w:p>
        </w:tc>
        <w:tc>
          <w:tcPr>
            <w:tcW w:w="9072" w:type="dxa"/>
          </w:tcPr>
          <w:p w14:paraId="069EB440" w14:textId="176AA596" w:rsidR="00850C86" w:rsidRDefault="00850C86" w:rsidP="00850C86">
            <w:pPr>
              <w:spacing w:after="0" w:line="240" w:lineRule="auto"/>
              <w:ind w:right="118"/>
              <w:rPr>
                <w:sz w:val="24"/>
                <w:szCs w:val="24"/>
              </w:rPr>
            </w:pPr>
            <w:r w:rsidRPr="00924EC7">
              <w:t xml:space="preserve">Devise and implement clear intervention plans, appropriate for each case to address identified needs, acting as Lead Professional as required. To have considerable responsibility for supporting children with their families and will be expected to take any steps necessary to safeguard children in accordance with local procedures and legislation. </w:t>
            </w:r>
          </w:p>
        </w:tc>
      </w:tr>
      <w:tr w:rsidR="00850C86" w14:paraId="52DB8D7D" w14:textId="77777777" w:rsidTr="009A58DA">
        <w:tc>
          <w:tcPr>
            <w:tcW w:w="456" w:type="dxa"/>
          </w:tcPr>
          <w:p w14:paraId="68898096" w14:textId="51AF515F" w:rsidR="00850C86" w:rsidRPr="000D2837" w:rsidRDefault="00850C86" w:rsidP="00850C86">
            <w:pPr>
              <w:spacing w:after="0" w:line="240" w:lineRule="auto"/>
              <w:ind w:right="118"/>
              <w:rPr>
                <w:b/>
                <w:bCs/>
                <w:sz w:val="24"/>
                <w:szCs w:val="24"/>
              </w:rPr>
            </w:pPr>
            <w:r w:rsidRPr="000D2837">
              <w:rPr>
                <w:b/>
                <w:bCs/>
                <w:sz w:val="24"/>
                <w:szCs w:val="24"/>
              </w:rPr>
              <w:t>3</w:t>
            </w:r>
          </w:p>
        </w:tc>
        <w:tc>
          <w:tcPr>
            <w:tcW w:w="9072" w:type="dxa"/>
          </w:tcPr>
          <w:p w14:paraId="7E16FC57" w14:textId="715F3359" w:rsidR="00850C86" w:rsidRDefault="00850C86" w:rsidP="00850C86">
            <w:pPr>
              <w:spacing w:after="0" w:line="240" w:lineRule="auto"/>
              <w:ind w:right="118"/>
              <w:rPr>
                <w:sz w:val="24"/>
                <w:szCs w:val="24"/>
              </w:rPr>
            </w:pPr>
            <w:r w:rsidRPr="00924EC7">
              <w:t>Manage a workload of medium need/risk cases with close professional supervision from the CFP Manager or Senior CFP Worker.</w:t>
            </w:r>
          </w:p>
        </w:tc>
      </w:tr>
      <w:tr w:rsidR="00850C86" w14:paraId="41071A23" w14:textId="77777777" w:rsidTr="009A58DA">
        <w:tc>
          <w:tcPr>
            <w:tcW w:w="456" w:type="dxa"/>
          </w:tcPr>
          <w:p w14:paraId="4BCFE63A" w14:textId="4DD18346" w:rsidR="00850C86" w:rsidRPr="000D2837" w:rsidRDefault="00850C86" w:rsidP="00850C86">
            <w:pPr>
              <w:spacing w:after="0" w:line="240" w:lineRule="auto"/>
              <w:ind w:right="118"/>
              <w:rPr>
                <w:b/>
                <w:bCs/>
                <w:sz w:val="24"/>
                <w:szCs w:val="24"/>
              </w:rPr>
            </w:pPr>
            <w:r w:rsidRPr="000D2837">
              <w:rPr>
                <w:b/>
                <w:bCs/>
                <w:sz w:val="24"/>
                <w:szCs w:val="24"/>
              </w:rPr>
              <w:t>4</w:t>
            </w:r>
          </w:p>
        </w:tc>
        <w:tc>
          <w:tcPr>
            <w:tcW w:w="9072" w:type="dxa"/>
          </w:tcPr>
          <w:p w14:paraId="01C0158B" w14:textId="6C41BE96" w:rsidR="00850C86" w:rsidRDefault="00850C86" w:rsidP="00850C86">
            <w:pPr>
              <w:spacing w:after="0" w:line="240" w:lineRule="auto"/>
              <w:ind w:right="118"/>
              <w:rPr>
                <w:sz w:val="24"/>
                <w:szCs w:val="24"/>
              </w:rPr>
            </w:pPr>
            <w:r w:rsidRPr="00924EC7">
              <w:t>Maintain accurate case records and provide high quality reports as required.</w:t>
            </w:r>
          </w:p>
        </w:tc>
      </w:tr>
      <w:tr w:rsidR="00850C86" w14:paraId="1AFB009D" w14:textId="77777777" w:rsidTr="009A58DA">
        <w:tc>
          <w:tcPr>
            <w:tcW w:w="456" w:type="dxa"/>
          </w:tcPr>
          <w:p w14:paraId="488283BD" w14:textId="79A6057E" w:rsidR="00850C86" w:rsidRPr="000D2837" w:rsidRDefault="00850C86" w:rsidP="00850C86">
            <w:pPr>
              <w:spacing w:after="0" w:line="240" w:lineRule="auto"/>
              <w:ind w:right="118"/>
              <w:rPr>
                <w:b/>
                <w:bCs/>
                <w:sz w:val="24"/>
                <w:szCs w:val="24"/>
              </w:rPr>
            </w:pPr>
            <w:r w:rsidRPr="000D2837">
              <w:rPr>
                <w:b/>
                <w:bCs/>
                <w:sz w:val="24"/>
                <w:szCs w:val="24"/>
              </w:rPr>
              <w:t>5</w:t>
            </w:r>
          </w:p>
        </w:tc>
        <w:tc>
          <w:tcPr>
            <w:tcW w:w="9072" w:type="dxa"/>
          </w:tcPr>
          <w:p w14:paraId="5204BE07" w14:textId="31397801" w:rsidR="00850C86" w:rsidRDefault="00850C86" w:rsidP="00850C86">
            <w:pPr>
              <w:spacing w:after="0" w:line="240" w:lineRule="auto"/>
              <w:ind w:right="118"/>
              <w:rPr>
                <w:sz w:val="24"/>
                <w:szCs w:val="24"/>
              </w:rPr>
            </w:pPr>
            <w:r w:rsidRPr="00924EC7">
              <w:t>Attend regular supervisory meetings with CFP manager and/or a senior CFP Worker regularly to monitor progress and identify development needs</w:t>
            </w:r>
          </w:p>
        </w:tc>
      </w:tr>
      <w:tr w:rsidR="00850C86" w14:paraId="4D030043" w14:textId="77777777" w:rsidTr="009A58DA">
        <w:tc>
          <w:tcPr>
            <w:tcW w:w="456" w:type="dxa"/>
          </w:tcPr>
          <w:p w14:paraId="2A535A5B" w14:textId="712DB6A5" w:rsidR="00850C86" w:rsidRPr="000D2837" w:rsidRDefault="00850C86" w:rsidP="00850C86">
            <w:pPr>
              <w:spacing w:after="0" w:line="240" w:lineRule="auto"/>
              <w:ind w:right="118"/>
              <w:rPr>
                <w:b/>
                <w:bCs/>
                <w:sz w:val="24"/>
                <w:szCs w:val="24"/>
              </w:rPr>
            </w:pPr>
            <w:r w:rsidRPr="000D2837">
              <w:rPr>
                <w:b/>
                <w:bCs/>
                <w:sz w:val="24"/>
                <w:szCs w:val="24"/>
              </w:rPr>
              <w:t>6</w:t>
            </w:r>
          </w:p>
        </w:tc>
        <w:tc>
          <w:tcPr>
            <w:tcW w:w="9072" w:type="dxa"/>
          </w:tcPr>
          <w:p w14:paraId="5ABE2E4C" w14:textId="04BD8D6B" w:rsidR="00850C86" w:rsidRDefault="00850C86" w:rsidP="00850C86">
            <w:pPr>
              <w:spacing w:after="0" w:line="240" w:lineRule="auto"/>
              <w:ind w:right="118"/>
              <w:rPr>
                <w:sz w:val="24"/>
                <w:szCs w:val="24"/>
              </w:rPr>
            </w:pPr>
            <w:r w:rsidRPr="00924EC7">
              <w:t>Work closely with other agencies and services in a co-operative way, sharing information and planning and delivering interventions together to meet the needs of the child and family holistically.</w:t>
            </w:r>
          </w:p>
        </w:tc>
      </w:tr>
      <w:tr w:rsidR="00850C86" w14:paraId="05D94F51" w14:textId="77777777" w:rsidTr="009A58DA">
        <w:tc>
          <w:tcPr>
            <w:tcW w:w="456" w:type="dxa"/>
          </w:tcPr>
          <w:p w14:paraId="54B3B141" w14:textId="7CC4924A" w:rsidR="00850C86" w:rsidRPr="000D2837" w:rsidRDefault="00850C86" w:rsidP="00850C86">
            <w:pPr>
              <w:spacing w:after="0" w:line="240" w:lineRule="auto"/>
              <w:ind w:right="118"/>
              <w:rPr>
                <w:b/>
                <w:bCs/>
                <w:sz w:val="24"/>
                <w:szCs w:val="24"/>
              </w:rPr>
            </w:pPr>
            <w:r>
              <w:rPr>
                <w:b/>
                <w:bCs/>
                <w:sz w:val="24"/>
                <w:szCs w:val="24"/>
              </w:rPr>
              <w:t>7</w:t>
            </w:r>
          </w:p>
        </w:tc>
        <w:tc>
          <w:tcPr>
            <w:tcW w:w="9072" w:type="dxa"/>
          </w:tcPr>
          <w:p w14:paraId="0CA3E01C" w14:textId="76E6E72F" w:rsidR="00850C86" w:rsidRDefault="00850C86" w:rsidP="00850C86">
            <w:pPr>
              <w:spacing w:after="0" w:line="240" w:lineRule="auto"/>
              <w:ind w:right="118"/>
              <w:rPr>
                <w:sz w:val="24"/>
                <w:szCs w:val="24"/>
              </w:rPr>
            </w:pPr>
            <w:r w:rsidRPr="00924EC7">
              <w:t>Deliver programmes to parents, individually and in groups, to improve their confidence and skills in managing their children’s behaviour</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78A55F48" w14:textId="77777777" w:rsidR="00850C86" w:rsidRDefault="00850C86" w:rsidP="00FD0BD7">
      <w:pPr>
        <w:spacing w:after="0" w:line="240" w:lineRule="auto"/>
        <w:ind w:left="567" w:right="118"/>
        <w:rPr>
          <w:rFonts w:ascii="Amasis MT Pro Black" w:hAnsi="Amasis MT Pro Black" w:cstheme="minorHAnsi"/>
          <w:b/>
          <w:bCs/>
          <w:color w:val="000000" w:themeColor="text1"/>
          <w:sz w:val="32"/>
          <w:szCs w:val="32"/>
        </w:rPr>
      </w:pPr>
    </w:p>
    <w:p w14:paraId="2BEC5D39" w14:textId="77777777" w:rsidR="00850C86" w:rsidRDefault="00850C86" w:rsidP="00FD0BD7">
      <w:pPr>
        <w:spacing w:after="0" w:line="240" w:lineRule="auto"/>
        <w:ind w:left="567" w:right="118"/>
        <w:rPr>
          <w:rFonts w:ascii="Amasis MT Pro Black" w:hAnsi="Amasis MT Pro Black" w:cstheme="minorHAnsi"/>
          <w:b/>
          <w:bCs/>
          <w:color w:val="000000" w:themeColor="text1"/>
          <w:sz w:val="32"/>
          <w:szCs w:val="32"/>
        </w:rPr>
      </w:pPr>
    </w:p>
    <w:p w14:paraId="7D36F9F6" w14:textId="77777777" w:rsidR="00850C86" w:rsidRDefault="00850C86" w:rsidP="00FD0BD7">
      <w:pPr>
        <w:spacing w:after="0" w:line="240" w:lineRule="auto"/>
        <w:ind w:left="567" w:right="118"/>
        <w:rPr>
          <w:rFonts w:ascii="Amasis MT Pro Black" w:hAnsi="Amasis MT Pro Black" w:cstheme="minorHAnsi"/>
          <w:b/>
          <w:bCs/>
          <w:color w:val="000000" w:themeColor="text1"/>
          <w:sz w:val="32"/>
          <w:szCs w:val="32"/>
        </w:rPr>
      </w:pPr>
    </w:p>
    <w:p w14:paraId="4782D070" w14:textId="58C0D482"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850C86" w14:paraId="7DF1D041" w14:textId="77777777" w:rsidTr="009A58DA">
        <w:tc>
          <w:tcPr>
            <w:tcW w:w="456" w:type="dxa"/>
          </w:tcPr>
          <w:p w14:paraId="1383F5FB" w14:textId="77777777" w:rsidR="00850C86" w:rsidRPr="000D2837" w:rsidRDefault="00850C86" w:rsidP="00850C86">
            <w:pPr>
              <w:spacing w:after="0" w:line="240" w:lineRule="auto"/>
              <w:ind w:right="118"/>
              <w:rPr>
                <w:b/>
                <w:bCs/>
                <w:sz w:val="24"/>
                <w:szCs w:val="24"/>
              </w:rPr>
            </w:pPr>
            <w:r w:rsidRPr="000D2837">
              <w:rPr>
                <w:b/>
                <w:bCs/>
                <w:sz w:val="24"/>
                <w:szCs w:val="24"/>
              </w:rPr>
              <w:t>1</w:t>
            </w:r>
          </w:p>
        </w:tc>
        <w:tc>
          <w:tcPr>
            <w:tcW w:w="9072" w:type="dxa"/>
          </w:tcPr>
          <w:p w14:paraId="488052B5" w14:textId="30A0E4C8" w:rsidR="00850C86" w:rsidRDefault="00850C86" w:rsidP="00850C86">
            <w:pPr>
              <w:spacing w:after="0" w:line="240" w:lineRule="auto"/>
              <w:ind w:right="118"/>
              <w:rPr>
                <w:sz w:val="24"/>
                <w:szCs w:val="24"/>
              </w:rPr>
            </w:pPr>
            <w:r w:rsidRPr="004D6F21">
              <w:t>Relevant NQF* qualification to L3 or equivalent experience Awareness of the legislative/regulatory framework within which the role operates.</w:t>
            </w:r>
          </w:p>
        </w:tc>
      </w:tr>
      <w:tr w:rsidR="00850C86" w14:paraId="30609FB5" w14:textId="77777777" w:rsidTr="009A58DA">
        <w:tc>
          <w:tcPr>
            <w:tcW w:w="456" w:type="dxa"/>
          </w:tcPr>
          <w:p w14:paraId="40CF3A09" w14:textId="77777777" w:rsidR="00850C86" w:rsidRPr="000D2837" w:rsidRDefault="00850C86" w:rsidP="00850C86">
            <w:pPr>
              <w:spacing w:after="0" w:line="240" w:lineRule="auto"/>
              <w:ind w:right="118"/>
              <w:rPr>
                <w:b/>
                <w:bCs/>
                <w:sz w:val="24"/>
                <w:szCs w:val="24"/>
              </w:rPr>
            </w:pPr>
            <w:r w:rsidRPr="000D2837">
              <w:rPr>
                <w:b/>
                <w:bCs/>
                <w:sz w:val="24"/>
                <w:szCs w:val="24"/>
              </w:rPr>
              <w:t>2</w:t>
            </w:r>
          </w:p>
        </w:tc>
        <w:tc>
          <w:tcPr>
            <w:tcW w:w="9072" w:type="dxa"/>
          </w:tcPr>
          <w:p w14:paraId="68F23ED0" w14:textId="27759411" w:rsidR="00850C86" w:rsidRDefault="00850C86" w:rsidP="00850C86">
            <w:pPr>
              <w:spacing w:after="0" w:line="240" w:lineRule="auto"/>
              <w:ind w:right="118"/>
              <w:rPr>
                <w:sz w:val="24"/>
                <w:szCs w:val="24"/>
              </w:rPr>
            </w:pPr>
            <w:r w:rsidRPr="004D6F21">
              <w:t>Ability to analyse, summarise and write/record relevant information to a good level with an ability to use IT effectively.</w:t>
            </w:r>
          </w:p>
        </w:tc>
      </w:tr>
      <w:tr w:rsidR="00850C86" w14:paraId="6CA6538F" w14:textId="77777777" w:rsidTr="009A58DA">
        <w:tc>
          <w:tcPr>
            <w:tcW w:w="456" w:type="dxa"/>
          </w:tcPr>
          <w:p w14:paraId="05DBBD0C" w14:textId="77777777" w:rsidR="00850C86" w:rsidRPr="000D2837" w:rsidRDefault="00850C86" w:rsidP="00850C86">
            <w:pPr>
              <w:spacing w:after="0" w:line="240" w:lineRule="auto"/>
              <w:ind w:right="118"/>
              <w:rPr>
                <w:b/>
                <w:bCs/>
                <w:sz w:val="24"/>
                <w:szCs w:val="24"/>
              </w:rPr>
            </w:pPr>
            <w:r w:rsidRPr="000D2837">
              <w:rPr>
                <w:b/>
                <w:bCs/>
                <w:sz w:val="24"/>
                <w:szCs w:val="24"/>
              </w:rPr>
              <w:t>3</w:t>
            </w:r>
          </w:p>
        </w:tc>
        <w:tc>
          <w:tcPr>
            <w:tcW w:w="9072" w:type="dxa"/>
          </w:tcPr>
          <w:p w14:paraId="59F0241D" w14:textId="64BE079F" w:rsidR="00850C86" w:rsidRDefault="00850C86" w:rsidP="00850C86">
            <w:pPr>
              <w:spacing w:after="0" w:line="240" w:lineRule="auto"/>
              <w:ind w:right="118"/>
              <w:rPr>
                <w:sz w:val="24"/>
                <w:szCs w:val="24"/>
              </w:rPr>
            </w:pPr>
            <w:r w:rsidRPr="004D6F21">
              <w:t>Good verbal and communication skills</w:t>
            </w:r>
          </w:p>
        </w:tc>
      </w:tr>
      <w:tr w:rsidR="00850C86" w14:paraId="22047EE8" w14:textId="77777777" w:rsidTr="009A58DA">
        <w:tc>
          <w:tcPr>
            <w:tcW w:w="456" w:type="dxa"/>
          </w:tcPr>
          <w:p w14:paraId="43E08BC9" w14:textId="77777777" w:rsidR="00850C86" w:rsidRPr="000D2837" w:rsidRDefault="00850C86" w:rsidP="00850C86">
            <w:pPr>
              <w:spacing w:after="0" w:line="240" w:lineRule="auto"/>
              <w:ind w:right="118"/>
              <w:rPr>
                <w:b/>
                <w:bCs/>
                <w:sz w:val="24"/>
                <w:szCs w:val="24"/>
              </w:rPr>
            </w:pPr>
            <w:r w:rsidRPr="000D2837">
              <w:rPr>
                <w:b/>
                <w:bCs/>
                <w:sz w:val="24"/>
                <w:szCs w:val="24"/>
              </w:rPr>
              <w:t>4</w:t>
            </w:r>
          </w:p>
        </w:tc>
        <w:tc>
          <w:tcPr>
            <w:tcW w:w="9072" w:type="dxa"/>
          </w:tcPr>
          <w:p w14:paraId="185F7B28" w14:textId="6937487C" w:rsidR="00850C86" w:rsidRDefault="00850C86" w:rsidP="00850C86">
            <w:pPr>
              <w:spacing w:after="0" w:line="240" w:lineRule="auto"/>
              <w:ind w:right="118"/>
              <w:rPr>
                <w:sz w:val="24"/>
                <w:szCs w:val="24"/>
              </w:rPr>
            </w:pPr>
            <w:r w:rsidRPr="004D6F21">
              <w:t xml:space="preserve">Ability to work as part of a multi-agency team, working co-operatively with other professionals and agencies to meet the needs of children and families. </w:t>
            </w:r>
          </w:p>
        </w:tc>
      </w:tr>
      <w:tr w:rsidR="00850C86" w14:paraId="1CA3B18C" w14:textId="77777777" w:rsidTr="009A58DA">
        <w:tc>
          <w:tcPr>
            <w:tcW w:w="456" w:type="dxa"/>
          </w:tcPr>
          <w:p w14:paraId="218547CD" w14:textId="77777777" w:rsidR="00850C86" w:rsidRPr="000D2837" w:rsidRDefault="00850C86" w:rsidP="00850C86">
            <w:pPr>
              <w:spacing w:after="0" w:line="240" w:lineRule="auto"/>
              <w:ind w:right="118"/>
              <w:rPr>
                <w:b/>
                <w:bCs/>
                <w:sz w:val="24"/>
                <w:szCs w:val="24"/>
              </w:rPr>
            </w:pPr>
            <w:r w:rsidRPr="000D2837">
              <w:rPr>
                <w:b/>
                <w:bCs/>
                <w:sz w:val="24"/>
                <w:szCs w:val="24"/>
              </w:rPr>
              <w:t>5</w:t>
            </w:r>
          </w:p>
        </w:tc>
        <w:tc>
          <w:tcPr>
            <w:tcW w:w="9072" w:type="dxa"/>
          </w:tcPr>
          <w:p w14:paraId="11203BD2" w14:textId="08E4A234" w:rsidR="00850C86" w:rsidRDefault="00850C86" w:rsidP="00850C86">
            <w:pPr>
              <w:spacing w:after="0" w:line="240" w:lineRule="auto"/>
              <w:ind w:right="118"/>
              <w:rPr>
                <w:sz w:val="24"/>
                <w:szCs w:val="24"/>
              </w:rPr>
            </w:pPr>
            <w:r w:rsidRPr="004D6F21">
              <w:t xml:space="preserve">Able to develop, implement and monitor robust support plans in medium risk/need cases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1DDB9" w14:textId="77777777" w:rsidR="00C36AF1" w:rsidRDefault="00C36AF1" w:rsidP="00F45CF3">
      <w:pPr>
        <w:spacing w:after="0" w:line="240" w:lineRule="auto"/>
      </w:pPr>
      <w:r>
        <w:separator/>
      </w:r>
    </w:p>
  </w:endnote>
  <w:endnote w:type="continuationSeparator" w:id="0">
    <w:p w14:paraId="4F494594" w14:textId="77777777" w:rsidR="00C36AF1" w:rsidRDefault="00C36AF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26C5" w14:textId="77777777" w:rsidR="00C36AF1" w:rsidRDefault="00C36AF1" w:rsidP="00F45CF3">
      <w:pPr>
        <w:spacing w:after="0" w:line="240" w:lineRule="auto"/>
      </w:pPr>
      <w:r>
        <w:separator/>
      </w:r>
    </w:p>
  </w:footnote>
  <w:footnote w:type="continuationSeparator" w:id="0">
    <w:p w14:paraId="47DF35C7" w14:textId="77777777" w:rsidR="00C36AF1" w:rsidRDefault="00C36AF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34F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1149A0"/>
    <w:rsid w:val="0016309D"/>
    <w:rsid w:val="00163709"/>
    <w:rsid w:val="0017540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0C86"/>
    <w:rsid w:val="00851843"/>
    <w:rsid w:val="008708B5"/>
    <w:rsid w:val="00882F7E"/>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F6965"/>
    <w:rsid w:val="00E12DD9"/>
    <w:rsid w:val="00E227ED"/>
    <w:rsid w:val="00E40EE0"/>
    <w:rsid w:val="00E44FEA"/>
    <w:rsid w:val="00EA7E50"/>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8CC2000A-EC63-4113-87BD-572BE288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8D72A-F778-4ACE-A3D6-F2B60EC6AA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2025-08-28T13:05:00Z</dcterms:created>
  <dcterms:modified xsi:type="dcterms:W3CDTF">2025-08-28T13:05:00Z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